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21, 2026</w:t>
      </w:r>
    </w:p>
    <w:p>
      <w:pPr>
        <w:spacing w:after="0" w:line="32"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_________________________________</w:t>
      </w:r>
    </w:p>
    <w:p>
      <w:pPr>
        <w:spacing w:after="0" w:line="1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Matador Resources Company</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_________________________________</w:t>
      </w:r>
    </w:p>
    <w:p>
      <w:pPr>
        <w:sectPr>
          <w:pgSz w:w="11900" w:h="16838" w:orient="portrait"/>
          <w:cols w:equalWidth="0" w:num="1">
            <w:col w:w="11080"/>
          </w:cols>
          <w:pgMar w:left="320" w:top="1037" w:right="499" w:bottom="1440" w:gutter="0" w:footer="0" w:header="0"/>
        </w:sectPr>
      </w:pPr>
    </w:p>
    <w:p>
      <w:pPr>
        <w:spacing w:after="0" w:line="10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Texas</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b w:val="1"/>
          <w:bCs w:val="1"/>
          <w:color w:val="auto"/>
        </w:rPr>
        <w:t>001-35410</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27-4662601</w:t>
      </w:r>
    </w:p>
    <w:p>
      <w:pPr>
        <w:spacing w:after="0" w:line="37" w:lineRule="exact"/>
        <w:rPr>
          <w:sz w:val="24"/>
          <w:szCs w:val="24"/>
          <w:color w:val="auto"/>
        </w:rPr>
      </w:pPr>
    </w:p>
    <w:p>
      <w:pPr>
        <w:sectPr>
          <w:pgSz w:w="11900" w:h="16838" w:orient="portrait"/>
          <w:cols w:equalWidth="0" w:num="3">
            <w:col w:w="4500" w:space="720"/>
            <w:col w:w="3160" w:space="720"/>
            <w:col w:w="1980"/>
          </w:cols>
          <w:pgMar w:left="320" w:top="1037" w:right="499" w:bottom="1440" w:gutter="0" w:footer="0" w:header="0"/>
          <w:type w:val="continuous"/>
        </w:sect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3040" w:space="720"/>
            <w:col w:w="2120"/>
          </w:cols>
          <w:pgMar w:left="320" w:top="1037" w:right="49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7"/>
          <w:szCs w:val="17"/>
          <w:b w:val="1"/>
          <w:bCs w:val="1"/>
          <w:color w:val="auto"/>
        </w:rPr>
        <w:t>5400 LBJ Freeway, Suite 1500</w:t>
      </w:r>
    </w:p>
    <w:p>
      <w:pPr>
        <w:spacing w:after="0" w:line="4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Dallas, Texas</w:t>
      </w:r>
    </w:p>
    <w:p>
      <w:pPr>
        <w:spacing w:after="0" w:line="20" w:lineRule="exact"/>
        <w:rPr>
          <w:sz w:val="24"/>
          <w:szCs w:val="24"/>
          <w:color w:val="auto"/>
        </w:rPr>
      </w:pPr>
      <w:r>
        <w:rPr>
          <w:sz w:val="24"/>
          <w:szCs w:val="24"/>
          <w:color w:val="auto"/>
        </w:rPr>
        <w:br w:type="column"/>
      </w:r>
    </w:p>
    <w:p>
      <w:pPr>
        <w:jc w:val="center"/>
        <w:ind w:right="3260"/>
        <w:spacing w:after="0"/>
        <w:rPr>
          <w:sz w:val="20"/>
          <w:szCs w:val="20"/>
          <w:color w:val="auto"/>
        </w:rPr>
      </w:pPr>
      <w:r>
        <w:rPr>
          <w:rFonts w:ascii="Times New Roman" w:cs="Times New Roman" w:eastAsia="Times New Roman" w:hAnsi="Times New Roman"/>
          <w:sz w:val="17"/>
          <w:szCs w:val="17"/>
          <w:b w:val="1"/>
          <w:bCs w:val="1"/>
          <w:color w:val="auto"/>
        </w:rPr>
        <w:t>75240</w:t>
      </w:r>
    </w:p>
    <w:p>
      <w:pPr>
        <w:spacing w:after="0" w:line="272" w:lineRule="exact"/>
        <w:rPr>
          <w:sz w:val="24"/>
          <w:szCs w:val="24"/>
          <w:color w:val="auto"/>
        </w:rPr>
      </w:pPr>
    </w:p>
    <w:p>
      <w:pPr>
        <w:sectPr>
          <w:pgSz w:w="11900" w:h="16838" w:orient="portrait"/>
          <w:cols w:equalWidth="0" w:num="2">
            <w:col w:w="6660" w:space="720"/>
            <w:col w:w="3700"/>
          </w:cols>
          <w:pgMar w:left="320" w:top="1037" w:right="499" w:bottom="1440" w:gutter="0" w:footer="0" w:header="0"/>
          <w:type w:val="continuous"/>
        </w:sectPr>
      </w:pPr>
    </w:p>
    <w:p>
      <w:pPr>
        <w:ind w:left="2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6540" w:space="720"/>
            <w:col w:w="3820"/>
          </w:cols>
          <w:pgMar w:left="320" w:top="1037"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371-5200</w:t>
      </w: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_________________________________</w:t>
      </w:r>
    </w:p>
    <w:p>
      <w:pPr>
        <w:spacing w:after="0" w:line="15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360" w:firstLine="26"/>
        <w:spacing w:after="0" w:line="379"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4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MTDR</w:t>
            </w:r>
          </w:p>
        </w:tc>
        <w:tc>
          <w:tcPr>
            <w:tcW w:w="240" w:type="dxa"/>
            <w:vAlign w:val="bottom"/>
          </w:tcPr>
          <w:p>
            <w:pPr>
              <w:spacing w:after="0"/>
              <w:rPr>
                <w:sz w:val="19"/>
                <w:szCs w:val="19"/>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8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7" w:right="49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60"/>
        <w:spacing w:after="0" w:line="239"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60" w:space="600"/>
            <w:col w:w="9880"/>
          </w:cols>
          <w:pgMar w:left="320" w:top="927" w:right="339" w:bottom="1440" w:gutter="0" w:footer="0" w:header="0"/>
        </w:sectPr>
      </w:pP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Matador Resources Company (the “Company”) today announced the promotion of Christopher P. Calvert to Executive Vice President and Chief Financial Officer and Glenn W. Stetson to Executive Vice President and Chief Operating Officer, each effective as of April 21, 2026.</w:t>
      </w:r>
    </w:p>
    <w:p>
      <w:pPr>
        <w:spacing w:after="0" w:line="18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Mr. Calvert joined the Company in October 2014 and most recently served as the Company’s Executive Vice President and Chief Operating Officer. Mr. Stetson joined the Company in August 2014 and most recently served as the Company’s Executive Vice President – Production. Mr. Calvert will assume the role of principal financial officer from Robert T. Macalik, who ceased serving as Chief Financial Officer on April 21, 2026. Mr. Macalik’s cessation of service as Chief Financial Officer is not related to any financial or accounting issue or any disagreement with the Company on any matter relating to the Company’s operations, policies or practices.</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biographical information regarding Messrs. Calvert and Stetson disclosed in the Company’s Definitive Proxy Statement on Schedule 14A, filed with the Securities and Exchange Commission on April 28, 2025, under the heading “Executive Officers and Other Senior Officers of the Company”, is incorporated herein by reference.</w:t>
      </w:r>
    </w:p>
    <w:p>
      <w:pPr>
        <w:spacing w:after="0" w:line="10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hereto as Exhibit 99.1 is a press release issued by the Company on April 27, 2026, announcing the promotions of Messrs. Calvert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Stetson.</w:t>
      </w: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Exhibit 99.1, shall not be deemed to be “filed” for the purposes of Section 18 of the Securities Exchange Act of 1934, as amended, and will not be incorporated by reference into any filing under the Securities Act of 1933, as amended, unless specifically identified therein as being incorporated therein by reference.</w:t>
      </w:r>
    </w:p>
    <w:p>
      <w:pPr>
        <w:spacing w:after="0" w:line="33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50" w:lineRule="exact"/>
        <w:rPr>
          <w:sz w:val="20"/>
          <w:szCs w:val="20"/>
          <w:color w:val="auto"/>
        </w:rPr>
      </w:pPr>
    </w:p>
    <w:p>
      <w:pPr>
        <w:ind w:left="40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6480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20" w:lineRule="exact"/>
        <w:rPr>
          <w:sz w:val="20"/>
          <w:szCs w:val="20"/>
          <w:color w:val="auto"/>
        </w:rPr>
      </w:pPr>
    </w:p>
    <w:p>
      <w:pPr>
        <w:ind w:left="920"/>
        <w:spacing w:after="0"/>
        <w:tabs>
          <w:tab w:leader="none" w:pos="15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April 27, 2026.</w:t>
      </w:r>
    </w:p>
    <w:p>
      <w:pPr>
        <w:spacing w:after="0" w:line="27" w:lineRule="exact"/>
        <w:rPr>
          <w:sz w:val="20"/>
          <w:szCs w:val="20"/>
          <w:color w:val="auto"/>
        </w:rPr>
      </w:pPr>
    </w:p>
    <w:p>
      <w:pPr>
        <w:ind w:left="96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3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MATADOR RESOURCES COMPANY</w:t>
            </w:r>
          </w:p>
        </w:tc>
      </w:tr>
      <w:tr>
        <w:trPr>
          <w:trHeight w:val="49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34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Bryan A. Erman</w:t>
            </w:r>
          </w:p>
        </w:tc>
      </w:tr>
      <w:tr>
        <w:trPr>
          <w:trHeight w:val="218"/>
        </w:trPr>
        <w:tc>
          <w:tcPr>
            <w:tcW w:w="3800" w:type="dxa"/>
            <w:vAlign w:val="bottom"/>
          </w:tcPr>
          <w:p>
            <w:pPr>
              <w:spacing w:after="0"/>
              <w:rPr>
                <w:sz w:val="18"/>
                <w:szCs w:val="18"/>
                <w:color w:val="auto"/>
              </w:rPr>
            </w:pPr>
          </w:p>
        </w:tc>
        <w:tc>
          <w:tcPr>
            <w:tcW w:w="34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Bryan A. Erman</w:t>
            </w:r>
          </w:p>
        </w:tc>
      </w:tr>
      <w:tr>
        <w:trPr>
          <w:trHeight w:val="234"/>
        </w:trPr>
        <w:tc>
          <w:tcPr>
            <w:tcW w:w="3800" w:type="dxa"/>
            <w:vAlign w:val="bottom"/>
          </w:tcPr>
          <w:p>
            <w:pPr>
              <w:spacing w:after="0"/>
              <w:rPr>
                <w:sz w:val="20"/>
                <w:szCs w:val="20"/>
                <w:color w:val="auto"/>
              </w:rPr>
            </w:pPr>
          </w:p>
        </w:tc>
        <w:tc>
          <w:tcPr>
            <w:tcW w:w="34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Co-President</w:t>
            </w:r>
          </w:p>
        </w:tc>
      </w:tr>
    </w:tbl>
    <w:p>
      <w:pPr>
        <w:sectPr>
          <w:pgSz w:w="11900" w:h="16838" w:orient="portrait"/>
          <w:cols w:equalWidth="0" w:num="1">
            <w:col w:w="11200"/>
          </w:cols>
          <w:pgMar w:left="320" w:top="887" w:right="3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MATADOR RESOURCES COMPANY ANNOUNCES LEADERSHIP PROMOTIONS</w:t>
      </w:r>
    </w:p>
    <w:p>
      <w:pPr>
        <w:spacing w:after="0" w:line="251"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2"/>
          <w:szCs w:val="22"/>
          <w:color w:val="auto"/>
        </w:rPr>
        <w:t>DALLAS, Texas, April 27, 2026 -- Matador Resources Company (NYSE: MTDR) (“Matador”) today announced the following promotions, effective as of April 21, 2026:</w:t>
      </w:r>
    </w:p>
    <w:p>
      <w:pPr>
        <w:spacing w:after="0" w:line="18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Christopher P. Calvert has been promoted to Executive Vice President and Chief Financial Officer</w:t>
      </w:r>
    </w:p>
    <w:p>
      <w:pPr>
        <w:spacing w:after="0" w:line="2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Glenn W. Stetson has been promoted to Executive Vice President and Chief Operating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These promotions will further strengthen Matador’s continued focus on execution, efficiency and long-term value creation.</w:t>
      </w:r>
    </w:p>
    <w:p>
      <w:pPr>
        <w:spacing w:after="0" w:line="23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Mr. Calvert and Mr. Stetson each have over ten years of experience leading departments at Matador and approximately 20 years of industry experience. Both have served on and been key members of Matador’s Executive Committee. Mr. Calvert joined Matador in October 2014 and most recently served as our Executive Vice President and Chief Operating Officer. Mr. Stetson joined Matador in August 2014 and most recently served as our Executive Vice President – Production. Mr. Calvert will assume the role of Chief Financial Officer from Robert T. Macalik, who ceased serving as Chief Financial Officer on April 21, 2026. Mr. Macalik’s cessation of service as Chief Financial Officer is not related to any financial or accounting issue or any disagreement with Matador on any matter relating to Matador’s operations, policies or practices.</w:t>
      </w:r>
    </w:p>
    <w:p>
      <w:pPr>
        <w:spacing w:after="0" w:line="20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1"/>
          <w:szCs w:val="21"/>
          <w:color w:val="auto"/>
        </w:rPr>
        <w:t>Joseph Wm. Foran, Matador’s Founder, Chairman and Chief Executive Officer, stated, “I would like to congratulate Chris and Glenn on their well-deserved promotions. Chris and Glenn have both operational and leadership experience, and they have been large contributors to Matador’s growth since joining us in 2014. Chris’s operational and business experience and technical knowledge, combined with his relationships with our various staff members, shareholders, bondholders, analyst community and bank group, uniquely position him to head our finance team as Chief Financial Officer. Glenn has consistently demonstrated his skill in identifying and developing a team focused on delivering record results for Matador’s various operations and midstream activities under his purview, and he will continue to cultivate that focus as Chief Operating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Matador Resources Company</w:t>
      </w:r>
    </w:p>
    <w:p>
      <w:pPr>
        <w:spacing w:after="0" w:line="26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2"/>
          <w:szCs w:val="22"/>
          <w:color w:val="auto"/>
        </w:rPr>
        <w:t>Matador is an independent energy company engaged in the exploration, development, production and acquisition of oil and natural gas resources in the United States, with an emphasis on oil and natural gas shale and other unconventional plays. Its current operations are focused primarily on the oil and liquids-rich portion of the Wolfcamp and Bone Spring plays in the Delaware Basin in Southeast New Mexico and West Texas. Matador also operates in the Haynesville shale and Cotton Valley plays in Northwest Louisiana. Additionally, Matador conducts midstream operations in support of its exploration, development and production operations and provides natural gas processing, oil transportation services, natural gas, oil and produced water gathering services and produced water disposal services to third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visit Matador Resources Company at </w:t>
      </w:r>
      <w:r>
        <w:rPr>
          <w:rFonts w:ascii="Times New Roman" w:cs="Times New Roman" w:eastAsia="Times New Roman" w:hAnsi="Times New Roman"/>
          <w:sz w:val="22"/>
          <w:szCs w:val="22"/>
          <w:u w:val="single" w:color="auto"/>
          <w:color w:val="auto"/>
        </w:rPr>
        <w:t>www.matadorresources.com</w:t>
      </w:r>
      <w:r>
        <w:rPr>
          <w:rFonts w:ascii="Times New Roman" w:cs="Times New Roman" w:eastAsia="Times New Roman" w:hAnsi="Times New Roman"/>
          <w:sz w:val="22"/>
          <w:szCs w:val="22"/>
          <w:color w:val="auto"/>
        </w:rPr>
        <w: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Mac Schmitz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Senior Vice President - Investor Relations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(972) 371-5225</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87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auto"/>
        </w:rPr>
        <w:t>investors@matadorresources.com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139"/>
      </w:cols>
      <w:pgMar w:left="320" w:top="8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2026-04-27T16:20:08Z</dcterms:created>
  <dcterms:modified xsi:type="dcterms:W3CDTF">2026-04-27T16:20:08Z</dcterms:modified>
</cp:coreProperties>
</file>