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1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Appel Shelley F</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6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41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3,642</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70,501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1,105,913</w:t>
            </w:r>
            <w:r>
              <w:rPr>
                <w:rFonts w:ascii="Times New Roman" w:cs="Times New Roman" w:eastAsia="Times New Roman" w:hAnsi="Times New Roman"/>
                <w:sz w:val="22"/>
                <w:szCs w:val="22"/>
                <w:color w:val="008000"/>
                <w:w w:val="96"/>
                <w:vertAlign w:val="superscript"/>
              </w:rPr>
              <w:t>(2)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44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336,978</w:t>
            </w:r>
            <w:r>
              <w:rPr>
                <w:rFonts w:ascii="Times New Roman" w:cs="Times New Roman" w:eastAsia="Times New Roman" w:hAnsi="Times New Roman"/>
                <w:sz w:val="22"/>
                <w:szCs w:val="22"/>
                <w:color w:val="008000"/>
                <w:w w:val="93"/>
                <w:vertAlign w:val="superscript"/>
              </w:rPr>
              <w:t>(2)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44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227,416</w:t>
            </w:r>
            <w:r>
              <w:rPr>
                <w:rFonts w:ascii="Times New Roman" w:cs="Times New Roman" w:eastAsia="Times New Roman" w:hAnsi="Times New Roman"/>
                <w:sz w:val="22"/>
                <w:szCs w:val="22"/>
                <w:color w:val="008000"/>
                <w:w w:val="93"/>
                <w:vertAlign w:val="superscript"/>
              </w:rPr>
              <w:t>(2)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44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5,084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Roth</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3,350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reporting</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person's</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Roth</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401(k)</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account.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0" w:type="dxa"/>
            <w:vAlign w:val="bottom"/>
            <w:vMerge w:val="restart"/>
          </w:tcPr>
          <w:p>
            <w:pPr>
              <w:jc w:val="center"/>
              <w:ind w:right="281"/>
              <w:spacing w:after="0"/>
              <w:rPr>
                <w:sz w:val="20"/>
                <w:szCs w:val="20"/>
                <w:color w:val="auto"/>
              </w:rPr>
            </w:pPr>
            <w:r>
              <w:rPr>
                <w:rFonts w:ascii="Times New Roman" w:cs="Times New Roman" w:eastAsia="Times New Roman" w:hAnsi="Times New Roman"/>
                <w:sz w:val="17"/>
                <w:szCs w:val="17"/>
                <w:color w:val="0000FF"/>
              </w:rPr>
              <w:t>1,784</w:t>
            </w:r>
            <w:r>
              <w:rPr>
                <w:rFonts w:ascii="Times New Roman" w:cs="Times New Roman" w:eastAsia="Times New Roman" w:hAnsi="Times New Roman"/>
                <w:sz w:val="22"/>
                <w:szCs w:val="22"/>
                <w:color w:val="008000"/>
                <w:vertAlign w:val="superscript"/>
              </w:rPr>
              <w:t>(2)</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7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0" w:type="dxa"/>
            <w:vAlign w:val="bottom"/>
            <w:vMerge w:val="restart"/>
          </w:tcPr>
          <w:p>
            <w:pPr>
              <w:jc w:val="center"/>
              <w:ind w:right="381"/>
              <w:spacing w:after="0"/>
              <w:rPr>
                <w:sz w:val="20"/>
                <w:szCs w:val="20"/>
                <w:color w:val="auto"/>
              </w:rPr>
            </w:pPr>
            <w:r>
              <w:rPr>
                <w:rFonts w:ascii="Times New Roman" w:cs="Times New Roman" w:eastAsia="Times New Roman" w:hAnsi="Times New Roman"/>
                <w:sz w:val="34"/>
                <w:szCs w:val="34"/>
                <w:color w:val="0000FF"/>
                <w:vertAlign w:val="subscript"/>
              </w:rPr>
              <w:t>58</w:t>
            </w:r>
            <w:r>
              <w:rPr>
                <w:rFonts w:ascii="Times New Roman" w:cs="Times New Roman" w:eastAsia="Times New Roman" w:hAnsi="Times New Roman"/>
                <w:sz w:val="11"/>
                <w:szCs w:val="11"/>
                <w:color w:val="008000"/>
              </w:rPr>
              <w:t>(2)</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7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78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tcPr>
          <w:p>
            <w:pPr>
              <w:jc w:val="center"/>
              <w:ind w:left="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00" w:type="dxa"/>
            <w:vAlign w:val="bottom"/>
          </w:tcPr>
          <w:p>
            <w:pPr>
              <w:jc w:val="center"/>
              <w:ind w:left="2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780" w:type="dxa"/>
            <w:vAlign w:val="bottom"/>
            <w:tcBorders>
              <w:bottom w:val="single" w:sz="8" w:color="808080"/>
            </w:tcBorders>
          </w:tcPr>
          <w:p>
            <w:pPr>
              <w:spacing w:after="0"/>
              <w:rPr>
                <w:sz w:val="2"/>
                <w:szCs w:val="2"/>
                <w:color w:val="auto"/>
              </w:rPr>
            </w:pPr>
          </w:p>
        </w:tc>
        <w:tc>
          <w:tcPr>
            <w:tcW w:w="74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-358775</wp:posOffset>
            </wp:positionV>
            <wp:extent cx="29845" cy="901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901065"/>
                    </a:xfrm>
                    <a:prstGeom prst="rect">
                      <a:avLst/>
                    </a:prstGeom>
                    <a:noFill/>
                  </pic:spPr>
                </pic:pic>
              </a:graphicData>
            </a:graphic>
          </wp:anchor>
        </w:drawing>
      </w:r>
    </w:p>
    <w:p>
      <w:pPr>
        <w:sectPr>
          <w:pgSz w:w="11900" w:h="16838" w:orient="portrait"/>
          <w:cols w:equalWidth="0" w:num="1">
            <w:col w:w="11080"/>
          </w:cols>
          <w:pgMar w:left="460" w:top="219" w:right="359" w:bottom="41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2"/>
          </w:tcPr>
          <w:p>
            <w:pPr>
              <w:jc w:val="center"/>
              <w:ind w:right="822"/>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8"/>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ind w:left="80"/>
              <w:spacing w:after="0" w:line="134" w:lineRule="exact"/>
              <w:rPr>
                <w:sz w:val="20"/>
                <w:szCs w:val="20"/>
                <w:color w:val="auto"/>
              </w:rPr>
            </w:pPr>
            <w:r>
              <w:rPr>
                <w:rFonts w:ascii="Arial" w:cs="Arial" w:eastAsia="Arial" w:hAnsi="Arial"/>
                <w:sz w:val="12"/>
                <w:szCs w:val="12"/>
                <w:b w:val="1"/>
                <w:bCs w:val="1"/>
                <w:color w:val="auto"/>
                <w:w w:val="96"/>
              </w:rPr>
              <w:t>and 5)</w:t>
            </w: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4"/>
                <w:szCs w:val="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0"/>
        </w:trPr>
        <w:tc>
          <w:tcPr>
            <w:tcW w:w="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4.</w:t>
            </w: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5. Number</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6. Date Exercisable and</w:t>
            </w:r>
          </w:p>
        </w:tc>
        <w:tc>
          <w:tcPr>
            <w:tcW w:w="98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7. Title and</w:t>
            </w: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Amount of</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6"/>
                <w:szCs w:val="6"/>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w:t>
            </w:r>
          </w:p>
        </w:tc>
        <w:tc>
          <w:tcPr>
            <w:tcW w:w="300" w:type="dxa"/>
            <w:vAlign w:val="bottom"/>
          </w:tcPr>
          <w:p>
            <w:pPr>
              <w:spacing w:after="0" w:line="80" w:lineRule="exact"/>
              <w:rPr>
                <w:sz w:val="20"/>
                <w:szCs w:val="20"/>
                <w:color w:val="auto"/>
              </w:rPr>
            </w:pPr>
            <w:r>
              <w:rPr>
                <w:rFonts w:ascii="Arial" w:cs="Arial" w:eastAsia="Arial" w:hAnsi="Arial"/>
                <w:sz w:val="8"/>
                <w:szCs w:val="8"/>
                <w:b w:val="1"/>
                <w:bCs w:val="1"/>
                <w:color w:val="auto"/>
              </w:rPr>
              <w:t>(D)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ind w:left="80"/>
              <w:spacing w:after="0" w:line="80" w:lineRule="exact"/>
              <w:rPr>
                <w:sz w:val="20"/>
                <w:szCs w:val="20"/>
                <w:color w:val="auto"/>
              </w:rPr>
            </w:pPr>
            <w:r>
              <w:rPr>
                <w:rFonts w:ascii="Arial" w:cs="Arial" w:eastAsia="Arial" w:hAnsi="Arial"/>
                <w:sz w:val="8"/>
                <w:szCs w:val="8"/>
                <w:b w:val="1"/>
                <w:bCs w:val="1"/>
                <w:color w:val="auto"/>
              </w:rPr>
              <w:t>(A) or</w:t>
            </w: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ind w:left="60"/>
              <w:spacing w:after="0" w:line="80" w:lineRule="exact"/>
              <w:rPr>
                <w:sz w:val="20"/>
                <w:szCs w:val="20"/>
                <w:color w:val="auto"/>
              </w:rPr>
            </w:pPr>
            <w:r>
              <w:rPr>
                <w:rFonts w:ascii="Arial" w:cs="Arial" w:eastAsia="Arial" w:hAnsi="Arial"/>
                <w:sz w:val="8"/>
                <w:szCs w:val="8"/>
                <w:b w:val="1"/>
                <w:bCs w:val="1"/>
                <w:color w:val="auto"/>
              </w:rPr>
              <w:t>Security (Instr.</w:t>
            </w: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gridSpan w:val="2"/>
          </w:tcPr>
          <w:p>
            <w:pPr>
              <w:ind w:left="80"/>
              <w:spacing w:after="0" w:line="93" w:lineRule="exact"/>
              <w:rPr>
                <w:sz w:val="20"/>
                <w:szCs w:val="20"/>
                <w:color w:val="auto"/>
              </w:rPr>
            </w:pPr>
            <w:r>
              <w:rPr>
                <w:rFonts w:ascii="Arial" w:cs="Arial" w:eastAsia="Arial" w:hAnsi="Arial"/>
                <w:sz w:val="10"/>
                <w:szCs w:val="10"/>
                <w:b w:val="1"/>
                <w:bCs w:val="1"/>
                <w:color w:val="auto"/>
              </w:rPr>
              <w:t>Disposed</w:t>
            </w: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gridSpan w:val="2"/>
          </w:tcPr>
          <w:p>
            <w:pPr>
              <w:ind w:left="60"/>
              <w:spacing w:after="0" w:line="93" w:lineRule="exact"/>
              <w:rPr>
                <w:sz w:val="20"/>
                <w:szCs w:val="20"/>
                <w:color w:val="auto"/>
              </w:rPr>
            </w:pPr>
            <w:r>
              <w:rPr>
                <w:rFonts w:ascii="Arial" w:cs="Arial" w:eastAsia="Arial" w:hAnsi="Arial"/>
                <w:sz w:val="10"/>
                <w:szCs w:val="10"/>
                <w:b w:val="1"/>
                <w:bCs w:val="1"/>
                <w:color w:val="auto"/>
              </w:rPr>
              <w:t>3 and 4)</w:t>
            </w:r>
          </w:p>
        </w:tc>
        <w:tc>
          <w:tcPr>
            <w:tcW w:w="640" w:type="dxa"/>
            <w:vAlign w:val="bottom"/>
          </w:tcPr>
          <w:p>
            <w:pPr>
              <w:spacing w:after="0"/>
              <w:rPr>
                <w:sz w:val="8"/>
                <w:szCs w:val="8"/>
                <w:color w:val="auto"/>
              </w:rPr>
            </w:pP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Reported</w:t>
            </w: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line="231" w:lineRule="auto"/>
        <w:rPr>
          <w:sz w:val="20"/>
          <w:szCs w:val="20"/>
          <w:color w:val="auto"/>
        </w:rPr>
      </w:pPr>
      <w:r>
        <w:rPr>
          <w:rFonts w:ascii="Times New Roman" w:cs="Times New Roman" w:eastAsia="Times New Roman" w:hAnsi="Times New Roman"/>
          <w:sz w:val="12"/>
          <w:szCs w:val="12"/>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94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394585"/>
                    </a:xfrm>
                    <a:prstGeom prst="rect">
                      <a:avLst/>
                    </a:prstGeom>
                    <a:noFill/>
                  </pic:spPr>
                </pic:pic>
              </a:graphicData>
            </a:graphic>
          </wp:anchor>
        </w:drawing>
        <w:t>1. Represents restricted stock units ("RSUs") granted to the reporting person on June 11,</w:t>
      </w:r>
      <w:r>
        <w:rPr>
          <w:rFonts w:ascii="Arial" w:cs="Arial" w:eastAsia="Arial" w:hAnsi="Arial"/>
          <w:sz w:val="10"/>
          <w:szCs w:val="10"/>
          <w:b w:val="1"/>
          <w:bCs w:val="1"/>
          <w:color w:val="000000"/>
        </w:rPr>
        <w:t>(Instr</w:t>
      </w:r>
      <w:r>
        <w:rPr>
          <w:rFonts w:ascii="Times New Roman" w:cs="Times New Roman" w:eastAsia="Times New Roman" w:hAnsi="Times New Roman"/>
          <w:sz w:val="12"/>
          <w:szCs w:val="12"/>
          <w:color w:val="008000"/>
        </w:rPr>
        <w:t>2026</w:t>
      </w:r>
      <w:r>
        <w:rPr>
          <w:rFonts w:ascii="Arial" w:cs="Arial" w:eastAsia="Arial" w:hAnsi="Arial"/>
          <w:sz w:val="10"/>
          <w:szCs w:val="10"/>
          <w:b w:val="1"/>
          <w:bCs w:val="1"/>
          <w:color w:val="000000"/>
        </w:rPr>
        <w:t>.3,</w:t>
      </w:r>
      <w:r>
        <w:rPr>
          <w:rFonts w:ascii="Times New Roman" w:cs="Times New Roman" w:eastAsia="Times New Roman" w:hAnsi="Times New Roman"/>
          <w:sz w:val="12"/>
          <w:szCs w:val="12"/>
          <w:color w:val="008000"/>
        </w:rPr>
        <w:t>.Such</w:t>
      </w:r>
      <w:r>
        <w:rPr>
          <w:rFonts w:ascii="Arial" w:cs="Arial" w:eastAsia="Arial" w:hAnsi="Arial"/>
          <w:sz w:val="10"/>
          <w:szCs w:val="10"/>
          <w:b w:val="1"/>
          <w:bCs w:val="1"/>
          <w:color w:val="000000"/>
        </w:rPr>
        <w:t>4</w:t>
      </w:r>
      <w:r>
        <w:rPr>
          <w:rFonts w:ascii="Times New Roman" w:cs="Times New Roman" w:eastAsia="Times New Roman" w:hAnsi="Times New Roman"/>
          <w:sz w:val="12"/>
          <w:szCs w:val="12"/>
          <w:color w:val="008000"/>
        </w:rPr>
        <w:t xml:space="preserve"> RSUs will vest, and an equal number of shares of common stock</w:t>
      </w:r>
      <w:r>
        <w:rPr>
          <w:rFonts w:ascii="Arial" w:cs="Arial" w:eastAsia="Arial" w:hAnsi="Arial"/>
          <w:sz w:val="10"/>
          <w:szCs w:val="10"/>
          <w:b w:val="1"/>
          <w:bCs w:val="1"/>
          <w:color w:val="000000"/>
        </w:rPr>
        <w:t>(Instr</w:t>
      </w:r>
      <w:r>
        <w:rPr>
          <w:rFonts w:ascii="Times New Roman" w:cs="Times New Roman" w:eastAsia="Times New Roman" w:hAnsi="Times New Roman"/>
          <w:sz w:val="12"/>
          <w:szCs w:val="12"/>
          <w:color w:val="008000"/>
        </w:rPr>
        <w:t>will</w:t>
      </w:r>
      <w:r>
        <w:rPr>
          <w:rFonts w:ascii="Arial" w:cs="Arial" w:eastAsia="Arial" w:hAnsi="Arial"/>
          <w:sz w:val="10"/>
          <w:szCs w:val="10"/>
          <w:b w:val="1"/>
          <w:bCs w:val="1"/>
          <w:color w:val="000000"/>
        </w:rPr>
        <w:t>.4)</w:t>
      </w:r>
      <w:r>
        <w:rPr>
          <w:rFonts w:ascii="Times New Roman" w:cs="Times New Roman" w:eastAsia="Times New Roman" w:hAnsi="Times New Roman"/>
          <w:sz w:val="12"/>
          <w:szCs w:val="12"/>
          <w:color w:val="008000"/>
        </w:rPr>
        <w:t xml:space="preserve"> be deliverable to the reporting</w:t>
      </w:r>
    </w:p>
    <w:tbl>
      <w:tblPr>
        <w:tblLayout w:type="fixed"/>
        <w:tblInd w:w="40" w:type="dxa"/>
        <w:tblCellMar>
          <w:top w:w="0" w:type="dxa"/>
          <w:left w:w="0" w:type="dxa"/>
          <w:bottom w:w="0" w:type="dxa"/>
          <w:right w:w="0" w:type="dxa"/>
        </w:tblCellMar>
      </w:tblPr>
      <w:tr>
        <w:trPr>
          <w:trHeight w:val="109"/>
        </w:trPr>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20" w:type="dxa"/>
            <w:vAlign w:val="bottom"/>
          </w:tcPr>
          <w:p>
            <w:pPr>
              <w:ind w:left="160"/>
              <w:spacing w:after="0" w:line="109" w:lineRule="exact"/>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0680" w:type="dxa"/>
            <w:vAlign w:val="bottom"/>
            <w:gridSpan w:val="7"/>
          </w:tcPr>
          <w:p>
            <w:pPr>
              <w:spacing w:after="0" w:line="80" w:lineRule="exact"/>
              <w:rPr>
                <w:sz w:val="20"/>
                <w:szCs w:val="20"/>
                <w:color w:val="auto"/>
              </w:rPr>
            </w:pPr>
            <w:r>
              <w:rPr>
                <w:rFonts w:ascii="Times New Roman" w:cs="Times New Roman" w:eastAsia="Times New Roman" w:hAnsi="Times New Roman"/>
                <w:sz w:val="9"/>
                <w:szCs w:val="9"/>
                <w:color w:val="008000"/>
              </w:rPr>
              <w:t>person on June 11, 2027, or if sooner, immediately prior to the election of nominees for director at the 2027 annual meeting of shareholders of the Issuer.</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147" w:lineRule="exact"/>
              <w:rPr>
                <w:sz w:val="20"/>
                <w:szCs w:val="20"/>
                <w:color w:val="auto"/>
              </w:rPr>
            </w:pPr>
            <w:r>
              <w:rPr>
                <w:rFonts w:ascii="Times New Roman" w:cs="Times New Roman" w:eastAsia="Times New Roman" w:hAnsi="Times New Roman"/>
                <w:sz w:val="13"/>
                <w:szCs w:val="13"/>
                <w:color w:val="008000"/>
              </w:rPr>
              <w:t>2.</w:t>
            </w:r>
          </w:p>
        </w:tc>
        <w:tc>
          <w:tcPr>
            <w:tcW w:w="3620" w:type="dxa"/>
            <w:vAlign w:val="bottom"/>
          </w:tcPr>
          <w:p>
            <w:pPr>
              <w:spacing w:after="0" w:line="20" w:lineRule="exact"/>
              <w:rPr>
                <w:sz w:val="1"/>
                <w:szCs w:val="1"/>
                <w:color w:val="auto"/>
              </w:rPr>
            </w:pPr>
          </w:p>
        </w:tc>
        <w:tc>
          <w:tcPr>
            <w:tcW w:w="4080" w:type="dxa"/>
            <w:vAlign w:val="bottom"/>
            <w:gridSpan w:val="4"/>
            <w:shd w:val="clear" w:color="auto" w:fill="80808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0" w:type="dxa"/>
            <w:vAlign w:val="bottom"/>
            <w:vMerge w:val="continue"/>
          </w:tcPr>
          <w:p>
            <w:pPr>
              <w:spacing w:after="0"/>
              <w:rPr>
                <w:sz w:val="11"/>
                <w:szCs w:val="11"/>
                <w:color w:val="auto"/>
              </w:rPr>
            </w:pPr>
          </w:p>
        </w:tc>
        <w:tc>
          <w:tcPr>
            <w:tcW w:w="10560" w:type="dxa"/>
            <w:vAlign w:val="bottom"/>
            <w:gridSpan w:val="6"/>
          </w:tcPr>
          <w:p>
            <w:pPr>
              <w:ind w:left="20"/>
              <w:spacing w:after="0" w:line="127" w:lineRule="exact"/>
              <w:rPr>
                <w:sz w:val="20"/>
                <w:szCs w:val="20"/>
                <w:color w:val="auto"/>
              </w:rPr>
            </w:pPr>
            <w:r>
              <w:rPr>
                <w:rFonts w:ascii="Times New Roman" w:cs="Times New Roman" w:eastAsia="Times New Roman" w:hAnsi="Times New Roman"/>
                <w:sz w:val="13"/>
                <w:szCs w:val="13"/>
                <w:color w:val="008000"/>
              </w:rPr>
              <w:t>The reporting person states that neither the filing of this statement nor anything herein shall be deemed an admission that such person is, for purposes of Section 16 of the Securities Exchange Act of</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40" w:type="dxa"/>
            <w:vAlign w:val="bottom"/>
            <w:gridSpan w:val="2"/>
          </w:tcPr>
          <w:p>
            <w:pPr>
              <w:ind w:left="460"/>
              <w:spacing w:after="0" w:line="40" w:lineRule="exact"/>
              <w:rPr>
                <w:sz w:val="20"/>
                <w:szCs w:val="20"/>
                <w:color w:val="auto"/>
              </w:rPr>
            </w:pPr>
            <w:r>
              <w:rPr>
                <w:rFonts w:ascii="Arial" w:cs="Arial" w:eastAsia="Arial" w:hAnsi="Arial"/>
                <w:sz w:val="4"/>
                <w:szCs w:val="4"/>
                <w:b w:val="1"/>
                <w:bCs w:val="1"/>
                <w:color w:val="auto"/>
              </w:rPr>
              <w:t>Amount</w:t>
            </w:r>
          </w:p>
        </w:tc>
        <w:tc>
          <w:tcPr>
            <w:tcW w:w="0" w:type="dxa"/>
            <w:vAlign w:val="bottom"/>
          </w:tcPr>
          <w:p>
            <w:pPr>
              <w:spacing w:after="0" w:line="20" w:lineRule="exact"/>
              <w:rPr>
                <w:sz w:val="1"/>
                <w:szCs w:val="1"/>
                <w:color w:val="auto"/>
              </w:rPr>
            </w:pPr>
          </w:p>
        </w:tc>
      </w:tr>
      <w:tr>
        <w:trPr>
          <w:trHeight w:val="107"/>
        </w:trPr>
        <w:tc>
          <w:tcPr>
            <w:tcW w:w="10680" w:type="dxa"/>
            <w:vAlign w:val="bottom"/>
            <w:gridSpan w:val="7"/>
          </w:tcPr>
          <w:p>
            <w:pPr>
              <w:spacing w:after="0" w:line="107" w:lineRule="exact"/>
              <w:rPr>
                <w:sz w:val="20"/>
                <w:szCs w:val="20"/>
                <w:color w:val="auto"/>
              </w:rPr>
            </w:pPr>
            <w:r>
              <w:rPr>
                <w:rFonts w:ascii="Times New Roman" w:cs="Times New Roman" w:eastAsia="Times New Roman" w:hAnsi="Times New Roman"/>
                <w:sz w:val="12"/>
                <w:szCs w:val="12"/>
                <w:color w:val="008000"/>
              </w:rPr>
              <w:t>1934, as amended, or otherwise, the beneficial owner of these shares. The reporting person disclaims beneficial ownership of these shares, except to the extent of her pecuniary interest therein.</w:t>
            </w:r>
          </w:p>
        </w:tc>
        <w:tc>
          <w:tcPr>
            <w:tcW w:w="0" w:type="dxa"/>
            <w:vAlign w:val="bottom"/>
          </w:tcPr>
          <w:p>
            <w:pPr>
              <w:spacing w:after="0"/>
              <w:rPr>
                <w:sz w:val="1"/>
                <w:szCs w:val="1"/>
                <w:color w:val="auto"/>
              </w:rPr>
            </w:pPr>
          </w:p>
        </w:tc>
      </w:tr>
      <w:tr>
        <w:trPr>
          <w:trHeight w:val="39"/>
        </w:trPr>
        <w:tc>
          <w:tcPr>
            <w:tcW w:w="1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40" w:type="dxa"/>
            <w:vAlign w:val="bottom"/>
            <w:gridSpan w:val="2"/>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21"/>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3.</w:t>
            </w:r>
          </w:p>
        </w:tc>
        <w:tc>
          <w:tcPr>
            <w:tcW w:w="3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40" w:type="dxa"/>
            <w:vAlign w:val="bottom"/>
            <w:gridSpan w:val="2"/>
          </w:tcPr>
          <w:p>
            <w:pPr>
              <w:ind w:left="460"/>
              <w:spacing w:after="0" w:line="121"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40"/>
        </w:trPr>
        <w:tc>
          <w:tcPr>
            <w:tcW w:w="120" w:type="dxa"/>
            <w:vAlign w:val="bottom"/>
            <w:vMerge w:val="continue"/>
          </w:tcPr>
          <w:p>
            <w:pPr>
              <w:spacing w:after="0"/>
              <w:rPr>
                <w:sz w:val="3"/>
                <w:szCs w:val="3"/>
                <w:color w:val="auto"/>
              </w:rPr>
            </w:pPr>
          </w:p>
        </w:tc>
        <w:tc>
          <w:tcPr>
            <w:tcW w:w="10560" w:type="dxa"/>
            <w:vAlign w:val="bottom"/>
            <w:gridSpan w:val="6"/>
          </w:tcPr>
          <w:p>
            <w:pPr>
              <w:ind w:left="20"/>
              <w:spacing w:after="0" w:line="40" w:lineRule="exact"/>
              <w:rPr>
                <w:sz w:val="20"/>
                <w:szCs w:val="20"/>
                <w:color w:val="auto"/>
              </w:rPr>
            </w:pPr>
            <w:r>
              <w:rPr>
                <w:rFonts w:ascii="Times New Roman" w:cs="Times New Roman" w:eastAsia="Times New Roman" w:hAnsi="Times New Roman"/>
                <w:sz w:val="4"/>
                <w:szCs w:val="4"/>
                <w:color w:val="008000"/>
              </w:rPr>
              <w:t>Represents shares held of record by Sage Resources, Ltd., which is a limited partnership owned by the reporting person's family, including the reporting person.</w:t>
            </w:r>
          </w:p>
        </w:tc>
        <w:tc>
          <w:tcPr>
            <w:tcW w:w="0" w:type="dxa"/>
            <w:vAlign w:val="bottom"/>
          </w:tcPr>
          <w:p>
            <w:pPr>
              <w:spacing w:after="0" w:line="20" w:lineRule="exact"/>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4.</w:t>
            </w:r>
          </w:p>
        </w:tc>
        <w:tc>
          <w:tcPr>
            <w:tcW w:w="3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20" w:type="dxa"/>
            <w:vAlign w:val="bottom"/>
          </w:tcPr>
          <w:p>
            <w:pPr>
              <w:ind w:left="880"/>
              <w:spacing w:after="0" w:line="93" w:lineRule="exact"/>
              <w:rPr>
                <w:sz w:val="20"/>
                <w:szCs w:val="20"/>
                <w:color w:val="auto"/>
              </w:rPr>
            </w:pPr>
            <w:r>
              <w:rPr>
                <w:rFonts w:ascii="Arial" w:cs="Arial" w:eastAsia="Arial" w:hAnsi="Arial"/>
                <w:sz w:val="10"/>
                <w:szCs w:val="10"/>
                <w:b w:val="1"/>
                <w:bCs w:val="1"/>
                <w:color w:val="auto"/>
              </w:rPr>
              <w:t>Date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Expiration</w:t>
            </w:r>
          </w:p>
        </w:tc>
        <w:tc>
          <w:tcPr>
            <w:tcW w:w="3840" w:type="dxa"/>
            <w:vAlign w:val="bottom"/>
            <w:gridSpan w:val="2"/>
          </w:tcPr>
          <w:p>
            <w:pPr>
              <w:ind w:left="460"/>
              <w:spacing w:after="0" w:line="93"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107"/>
        </w:trPr>
        <w:tc>
          <w:tcPr>
            <w:tcW w:w="120" w:type="dxa"/>
            <w:vAlign w:val="bottom"/>
            <w:vMerge w:val="continue"/>
          </w:tcPr>
          <w:p>
            <w:pPr>
              <w:spacing w:after="0"/>
              <w:rPr>
                <w:sz w:val="9"/>
                <w:szCs w:val="9"/>
                <w:color w:val="auto"/>
              </w:rPr>
            </w:pPr>
          </w:p>
        </w:tc>
        <w:tc>
          <w:tcPr>
            <w:tcW w:w="10560" w:type="dxa"/>
            <w:vAlign w:val="bottom"/>
            <w:gridSpan w:val="6"/>
          </w:tcPr>
          <w:p>
            <w:pPr>
              <w:ind w:left="20"/>
              <w:spacing w:after="0" w:line="107" w:lineRule="exact"/>
              <w:rPr>
                <w:sz w:val="20"/>
                <w:szCs w:val="20"/>
                <w:color w:val="auto"/>
              </w:rPr>
            </w:pPr>
            <w:r>
              <w:rPr>
                <w:rFonts w:ascii="Times New Roman" w:cs="Times New Roman" w:eastAsia="Times New Roman" w:hAnsi="Times New Roman"/>
                <w:sz w:val="12"/>
                <w:szCs w:val="12"/>
                <w:color w:val="008000"/>
              </w:rPr>
              <w:t>Represents shares held of record by the SIF 2020 Non-GST Trust (the "2020 Non-GST Trust"). The reporting person is a beneficiary of the 2020 Non-GST Trust.</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74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Code  V</w:t>
            </w:r>
          </w:p>
        </w:tc>
        <w:tc>
          <w:tcPr>
            <w:tcW w:w="1620" w:type="dxa"/>
            <w:vAlign w:val="bottom"/>
          </w:tcPr>
          <w:p>
            <w:pPr>
              <w:ind w:left="160"/>
              <w:spacing w:after="0" w:line="81" w:lineRule="exact"/>
              <w:rPr>
                <w:sz w:val="20"/>
                <w:szCs w:val="20"/>
                <w:color w:val="auto"/>
              </w:rPr>
            </w:pPr>
            <w:r>
              <w:rPr>
                <w:rFonts w:ascii="Arial" w:cs="Arial" w:eastAsia="Arial" w:hAnsi="Arial"/>
                <w:sz w:val="8"/>
                <w:szCs w:val="8"/>
                <w:b w:val="1"/>
                <w:bCs w:val="1"/>
                <w:color w:val="auto"/>
              </w:rPr>
              <w:t>(A)   (D)   Exercisable</w:t>
            </w: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Date</w:t>
            </w:r>
          </w:p>
        </w:tc>
        <w:tc>
          <w:tcPr>
            <w:tcW w:w="3840" w:type="dxa"/>
            <w:vAlign w:val="bottom"/>
            <w:gridSpan w:val="2"/>
          </w:tcPr>
          <w:p>
            <w:pPr>
              <w:ind w:left="60"/>
              <w:spacing w:after="0" w:line="81" w:lineRule="exact"/>
              <w:rPr>
                <w:sz w:val="20"/>
                <w:szCs w:val="20"/>
                <w:color w:val="auto"/>
              </w:rPr>
            </w:pPr>
            <w:r>
              <w:rPr>
                <w:rFonts w:ascii="Arial" w:cs="Arial" w:eastAsia="Arial" w:hAnsi="Arial"/>
                <w:sz w:val="8"/>
                <w:szCs w:val="8"/>
                <w:b w:val="1"/>
                <w:bCs w:val="1"/>
                <w:color w:val="auto"/>
              </w:rPr>
              <w:t>Title  Shares</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t>5. Represents shares held of record by the SIF 2011 Non-GST Trust (the "2011 Non-GST Trust"). The reporting person is a beneficiary of the 2011 Non-GST Trust.</w:t>
      </w:r>
    </w:p>
    <w:p>
      <w:pPr>
        <w:sectPr>
          <w:pgSz w:w="11900" w:h="16838" w:orient="portrait"/>
          <w:cols w:equalWidth="0" w:num="1">
            <w:col w:w="11080"/>
          </w:cols>
          <w:pgMar w:left="460" w:top="175" w:right="359" w:bottom="1440" w:gutter="0" w:footer="0" w:header="0"/>
        </w:sectPr>
      </w:pPr>
    </w:p>
    <w:p>
      <w:pPr>
        <w:spacing w:after="0" w:line="36"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of record by the JNF-1 Trust for which the reporting person is a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of record by the reporting person's spouse.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Shelley F. Appel, by Derek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E. Gabriel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17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175" w:right="35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Shelley F. Appel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Shelley F. Appel</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6"/>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81193"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2026-06-15T17:40:07Z</dcterms:created>
  <dcterms:modified xsi:type="dcterms:W3CDTF">2026-06-15T17:40:07Z</dcterms:modified>
</cp:coreProperties>
</file>