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9.gif" ContentType="image/gif"/>
  <Override PartName="/word/media/image28.gif" ContentType="image/gif"/>
  <Override PartName="/word/media/image26.gif" ContentType="image/gif"/>
  <Override PartName="/word/media/image20.jpeg" ContentType="image/jpeg"/>
  <Override PartName="/word/media/image24.gif" ContentType="image/gif"/>
  <Override PartName="/word/media/image32.jpeg" ContentType="image/jpeg"/>
  <Override PartName="/word/media/image23.gif" ContentType="image/gif"/>
  <Override PartName="/word/media/image21.gif" ContentType="image/gif"/>
  <Override PartName="/word/media/image10.jpeg" ContentType="image/jpeg"/>
  <Override PartName="/word/media/image19.jpeg" ContentType="image/jpeg"/>
  <Override PartName="/word/media/image13.jpeg" ContentType="image/jpeg"/>
  <Override PartName="/word/media/image40.jpeg" ContentType="image/jpeg"/>
  <Override PartName="/word/media/image9.jpeg" ContentType="image/jpeg"/>
  <Override PartName="/word/media/image31.gif" ContentType="image/gif"/>
  <Override PartName="/word/media/image11.jpeg" ContentType="image/jpeg"/>
  <Override PartName="/word/media/image30.gif" ContentType="image/gif"/>
  <Override PartName="/word/media/image33.gif" ContentType="image/gif"/>
  <Override PartName="/word/media/image8.jpeg" ContentType="image/jpeg"/>
  <Override PartName="/word/media/image39.jpeg" ContentType="image/jpeg"/>
  <Override PartName="/word/media/image34.gif" ContentType="image/gif"/>
  <Override PartName="/word/media/image36.gif" ContentType="image/gif"/>
  <Override PartName="/word/media/image37.gif" ContentType="image/gif"/>
  <Override PartName="/word/media/image2.jpeg" ContentType="image/jpeg"/>
  <Override PartName="/word/media/image38.gif" ContentType="image/gif"/>
  <Override PartName="/word/media/image12.jpeg" ContentType="image/jpeg"/>
  <Override PartName="/word/media/image35.gif" ContentType="image/gif"/>
  <Override PartName="/word/media/image7.jpeg" ContentType="image/jpeg"/>
  <Override PartName="/word/media/image25.gif" ContentType="image/gif"/>
  <Override PartName="/word/media/image6.jpeg" ContentType="image/jpeg"/>
  <Override PartName="/word/media/image15.gif" ContentType="image/gif"/>
  <Override PartName="/word/media/image5.jpeg" ContentType="image/jpeg"/>
  <Override PartName="/word/media/image4.jpeg" ContentType="image/jpeg"/>
  <Override PartName="/word/media/image18.jpeg" ContentType="image/jpeg"/>
  <Override PartName="/word/media/image22.gif" ContentType="image/gif"/>
  <Override PartName="/word/media/image3.jpeg" ContentType="image/jpeg"/>
  <Override PartName="/word/media/image1.jpeg" ContentType="image/jpeg"/>
  <Override PartName="/word/media/image14.gif" ContentType="image/gif"/>
  <Override PartName="/word/media/image16.gif" ContentType="image/gif"/>
  <Override PartName="/word/media/image27.jpeg" ContentType="image/jpeg"/>
  <Override PartName="/word/media/image17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>Washington, D.C. 20549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Proxy Statement Pursuant to Section 14(a)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(Amendment No.  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Filed by the Registrant </w:t>
      </w:r>
      <w:r>
        <w:rPr>
          <w:caps w:val="false"/>
          <w:smallCaps w:val="false"/>
        </w:rPr>
        <w:t>☒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Filed by a Party other than the Registrant </w:t>
      </w:r>
      <w:r>
        <w:rPr>
          <w:caps w:val="false"/>
          <w:smallCaps w:val="false"/>
        </w:rPr>
        <w:t>☐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Check the appropriate box: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Preliminary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Definitive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Definitive Additional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Soliciting Material Pursuant to §240.14a-12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Payment of Filing Fee (Check the appropriate box):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No fee required.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Fee paid previously with preliminary materials.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Fee computed on table in exhibit required by Item 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7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41"/>
        <w:gridCol w:w="4651"/>
      </w:tblGrid>
      <w:tr>
        <w:trPr/>
        <w:tc>
          <w:tcPr>
            <w:tcW w:w="5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1" w:type="dxa"/>
            <w:vMerge w:val="restart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0" cy="140271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i-1"/>
            <w:bookmarkEnd w:id="0"/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8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8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80"/>
                <w:u w:val="none"/>
                <w:effect w:val="none"/>
              </w:rPr>
              <w:t>2026</w:t>
            </w:r>
          </w:p>
        </w:tc>
      </w:tr>
      <w:tr>
        <w:trPr/>
        <w:tc>
          <w:tcPr>
            <w:tcW w:w="5141" w:type="dxa"/>
            <w:vMerge w:val="continue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 xml:space="preserve">Notice of Annual Meeting of Shareholders </w:t>
            </w:r>
          </w:p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 xml:space="preserve">and </w:t>
            </w:r>
          </w:p>
        </w:tc>
      </w:tr>
      <w:tr>
        <w:trPr/>
        <w:tc>
          <w:tcPr>
            <w:tcW w:w="5141" w:type="dxa"/>
            <w:vMerge w:val="continue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>June 11, 2026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>|  Dallas, Texas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0" cy="100203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i-2"/>
            <w:bookmarkEnd w:id="1"/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One Lincoln Centre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5400 LBJ Freeway, Suite 1500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Dallas, Texas 75240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www.matadorresources.com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NOTICE OF ANNUAL MEETING OF SHAREHOLDERS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To Be Held on June 11,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To the Matador Resources Company Shareholders: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Please join us for the 2026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Annual Meeting of Shareholders of Matador Resources Company. The meeting will be held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Hilton Dallas Lincoln Centre, 5410 LBJ Freeway, Dallas, Texas 75240, on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Thursday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June 11, 2026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at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9:30 a.m.,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Central Daylight Time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At the meeting, you will hear a report on our business and act on the following matters: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(1)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Election of the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three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nominees for director named in the attached Proxy Statement;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(2)Advisory vote to approve the compensation of our named executive officers as described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the atta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ched Proxy Statement;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(3)Ratification of the appointment of KPMG LLP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as the Company’s independent registered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public accounting firm for the year ending December 31, 2026; and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(4)Any other matters that may properly come before the meeting.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All shareholders of record at the close of business on April 13, 2026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are entitled to vote at the meeting or 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postponement or adjournment of the meeting. A list of the shareholders of record is available at the Company’s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offices in Dallas, Texas.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By Order of the Board of Directors,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57375" cy="3333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" w:name="i-3"/>
            <w:bookmarkEnd w:id="2"/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Joseph Wm. Foran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Chairman and Chief Executive Officer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29,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YOUR VOTE IS IMPORTANT!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Whether or not you will attend the meeting, please vote as promptly as possible by using the Internet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or telephone or by signing, dating and returning your proxy card to the address listed on the card.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Important Notice Regarding the Availability of Proxy Materials for the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Annual Meeting of Shareholders to Be Held on June 11, 2026: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Our Proxy Statement and the Annual Report to Shareholders for the fiscal year ended December 31, 2025</w:t>
            </w:r>
            <w:r>
              <w:rPr>
                <w:caps w:val="false"/>
                <w:smallCaps w:val="false"/>
                <w:strike w:val="false"/>
                <w:dstrike w:val="false"/>
                <w:color w:val="231F20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available for viewing, printing and downloading at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color w:val="231F20"/>
                <w:sz w:val="20"/>
                <w:u w:val="single"/>
              </w:rPr>
              <w:t>https://materials.proxyvote.com/576485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TABLE OF CONTENTS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TABLE OF CONTENTS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53"/>
        <w:gridCol w:w="556"/>
        <w:gridCol w:w="4494"/>
        <w:gridCol w:w="602"/>
      </w:tblGrid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</w:tc>
        <w:tc>
          <w:tcPr>
            <w:tcW w:w="4494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Proxy Statement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Letter to Shareholders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Proxy Summary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 Compensation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47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Information About the Annual Meeting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Proposal 1 | Election of Directors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12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Strategic Planning and Compensation Committee Report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66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kills &amp; Experience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Summary Compensation Table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66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3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Nominees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3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Grants of Plan-Based Awards Table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5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68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4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4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16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Outstanding Equity Awards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at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 31, 2025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4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Directors Continuing in Office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4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17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Option Exercises and Stock Vested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70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Corporate Governance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Potential Payments upon Termination or Change in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Control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6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71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Independence of Directors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Chief Executive Officer Pay Ratio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75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Majority Vote in Director Elections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Pay Versus Performance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76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Leadership Structure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Compensation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80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8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Committees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8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27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-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2026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81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8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Board's Role in Risk Oversight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8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32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Stock Ownership Guidelines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81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Sustainability</w:t>
            </w:r>
            <w:hyperlink w:anchor="i7c299e44fe34467d92a6d3cda5b4fb80_88">
              <w:r>
                <w:rPr>
                  <w:rStyle w:val="InternetLink"/>
                  <w:caps w:val="false"/>
                  <w:smallCaps w:val="false"/>
                  <w:strike w:val="false"/>
                  <w:dstrike w:val="false"/>
                  <w:color w:val="000000"/>
                  <w:u w:val="single"/>
                  <w:effect w:val="none"/>
                </w:rPr>
                <w:t xml:space="preserve"> </w:t>
              </w:r>
            </w:hyperlink>
            <w:hyperlink w:anchor="i7c299e44fe34467d92a6d3cda5b4fb80_8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Practices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8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Equity Compensation Plan Information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8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82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9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Shareholder Engagement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9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Transactions with Related Persons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9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Communications with Directors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9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Security Ownership of Certain Beneficial Owners and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Management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Strategic Planning and Compensation Committee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Interlocks and Insider Participation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Additional Information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Executive Officers and Other Senior Officers of the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Company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Shareholder Proposals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for the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Proxy Statement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Proposal 2 | Advisory Vote to Approve Named Executive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Officer Compensation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Director Nominations or Other Business for Presentation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at the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Annual Meeting</w:t>
            </w:r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0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Annual Report on Form 10-K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Proposal 3 | Ratification of the Appointment of KPMG LLP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Business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90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Fees of Independent Registered Public Accounting Firm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for Fiscal Years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2024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1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Annex A Non-GAAP Financial Measures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21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91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Report of the Audit Committee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1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7c299e44fe34467d92a6d3cda5b4fb80_12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www.matadorresources.com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PROXY STATEMENT For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 OF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To Be Held on June 11, 2026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Proxy Statement is being mailed on or about April 29,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the shareholders of Matador Resources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(“Matador” or the “Company”) in connection with the solicitation of proxies by the Board of Directors (the “Board”)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to be voted at the Annual Meeting of Shareholders of the Company to be held at Hilton Dallas Lincoln Centre,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5410 LBJ Freeway, Dallas, Texas 75240, on June 11, 2026, at 9:30 a.m., Central Daylight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(the “Annual Meeting” 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“2026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Meeting”), or at any postponement or adjournment thereof, for the purposes set forth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accompanying Notice of Annual Meeting of Shareholders. The address of the Company’s principal executive office is One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Lincoln Centre, 5400 LBJ Freeway, Suite 1500, Dallas, Texas 75240.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If you are a shareholder of record, you may vote in person by attending the meeting, by completing and returning a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mail or by using the Internet or telephone. You may vote your proxy by mail by marking your vote on the enclosed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proxy card and following the instructions on the card. To vote your proxy using the Internet or telephone, see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instructions on the proxy form and have the proxy form available when you access the Internet website or place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telephone call.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named proxies will vote your shares according to your directions. If you sign and return your proxy but do not make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of the selections, the named proxies will vote your shares: (i)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election of the three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nominees for director as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set forth in this Proxy Statement, (ii)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approval, on an advisory basis, of the compensation of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named executive officers as disclosed in this Proxy Statement and (iii)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ratification of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independent registered public accounting firm of the Company for the year ending December 31, 2026. Your proxy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revoked at any time before it is exercised by filing with the Company a written revocation addressed to the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Secretary, by executing a proxy bearing a later date or by attending the Annual Meeting and voting in person.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cost of soliciting proxies will be borne by the Company. In addition to the use of postal services and the Internet,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proxies may be solicited by directors, officers and employees of the Company (none of whom will receive any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for any assistance they may provide in the solicitation of proxies) in person or by telephone.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outstanding voting securities of the Company consist of issued and outstanding common stock, par value $0.01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 (the “Common Stock”). The record date for the determination of the shareholders entitled to notice of and to vote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Annual Meeting, or any postponement or adjournment thereof, has been established by the Board as the close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on April 13,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(the “Record Date”). As of the Record Date, there were 124,200,880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and entitled to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presence, in person or by proxy, of the holders of record of a majority of the outstanding shares entitled to vote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necessary to constitute a quorum for the transaction of business at the Annual Meeting, but if a quorum should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present, the meeting may be adjourned from time to time until a quorum is obtained. A holder of Common Stock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entitled to one vote per share on each matter properly brought before the meeting. Cumulative voting is not permitted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proxy card provides space for a shareholder to abstain with respect to any or all nominees for the Board.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affirmative vote of a majority of the votes cast by holders of shares present in person or represented by proxy and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vote on the election of directors at the Annual Meeting is required for the election of each nominee for director.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 to the election of directors in an uncontested election, such as that being held at the Annual Meeting, “majority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votes cast” means the number of votes cast “for” the election of such nominee exceeds the number of votes cast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against” such nominee. See “Corporate Governance—Majority Vote in Director Elections” for additional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regarding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other proposals require the affirmative vote of a majority of the shares of Common Stock present in person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represented by proxy and entitled to vote at the meeting. Shares held by a shareholder who abstains from voting on any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all proposals will be included for the purpose of determining the presence of a quorum. Other than with respect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election of directors, an abstention will effectively count as a vote cast against the remaining proposals.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any matter as to which the broker has indicated on the proxy that it does not have discretionary authority to vote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treated as shares not entitled to vote with respect to that matter. However, such shares will be considered present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vote for quorum purposes so long as they are entitled to vote on at least one other matter.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This summary highlights information contained elsewhere in this Proxy Statement. This summary does not contain all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information that you should consider, and you should read the entire Proxy Statement carefully prior to voting.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more complete information regarding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performance, please review our Annual Report on Form 10-K for the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December 31, 2025.</w:t>
      </w:r>
    </w:p>
    <w:p>
      <w:pPr>
        <w:pStyle w:val="TextBody"/>
        <w:bidi w:val="0"/>
        <w:spacing w:lineRule="atLeast" w:line="2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6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6"/>
          <w:u w:val="none"/>
          <w:effect w:val="none"/>
        </w:rPr>
        <w:t>Annual Meeting of Shareholders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4"/>
      <w:bookmarkEnd w:id="3"/>
    </w:p>
    <w:tbl>
      <w:tblPr>
        <w:tblW w:w="87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61"/>
        <w:gridCol w:w="109"/>
        <w:gridCol w:w="2101"/>
        <w:gridCol w:w="109"/>
        <w:gridCol w:w="1771"/>
        <w:gridCol w:w="109"/>
        <w:gridCol w:w="2386"/>
      </w:tblGrid>
      <w:tr>
        <w:trPr/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DATE AND TIME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LOCATION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RECORD DATE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VOTING</w:t>
            </w:r>
          </w:p>
        </w:tc>
      </w:tr>
      <w:tr>
        <w:trPr/>
        <w:tc>
          <w:tcPr>
            <w:tcW w:w="216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June 11,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at 9:30 a.m.,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Central Daylight Time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Hilton Dallas Lincoln Centre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5410 LBJ Freeway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Dallas, Texas 75240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April 13,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Shareholders as of the close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of business on the Record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Date are entitled to vote. Each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share of Common Stock is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entitled to one vote at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Annual Meeting.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739"/>
        <w:gridCol w:w="2466"/>
      </w:tblGrid>
      <w:tr>
        <w:trPr/>
        <w:tc>
          <w:tcPr>
            <w:tcW w:w="7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739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Proposal</w:t>
            </w:r>
          </w:p>
        </w:tc>
        <w:tc>
          <w:tcPr>
            <w:tcW w:w="24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Board Recommendation</w:t>
            </w:r>
          </w:p>
        </w:tc>
      </w:tr>
      <w:tr>
        <w:trPr/>
        <w:tc>
          <w:tcPr>
            <w:tcW w:w="77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Election of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Three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Director Nominees (page </w:t>
            </w:r>
            <w:hyperlink w:anchor="i7c299e44fe34467d92a6d3cda5b4fb80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12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2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  <w:tr>
        <w:trPr/>
        <w:tc>
          <w:tcPr>
            <w:tcW w:w="77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Advisory Vote to Approve Named Executive Officer Compensation (page </w:t>
            </w:r>
            <w:hyperlink w:anchor="i7c299e44fe34467d92a6d3cda5b4fb80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)                                      </w:t>
            </w:r>
          </w:p>
        </w:tc>
        <w:tc>
          <w:tcPr>
            <w:tcW w:w="2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  <w:tr>
        <w:trPr/>
        <w:tc>
          <w:tcPr>
            <w:tcW w:w="77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Ratification of the Appointment of KPMG LLP as the Company’s Independent Registered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Accounting Firm 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(page </w:t>
            </w:r>
            <w:hyperlink w:anchor="i7c299e44fe34467d92a6d3cda5b4fb80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2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00548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Business Highlights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i-5"/>
      <w:bookmarkEnd w:id="4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are pleased to report that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another successful year for Matador, including record operational and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results, record proved oil and natural gas reserves, a growing Delaware Basin acreage position and a fixed dividend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 twice in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Operational Highlights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 achieved record growth in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while improving well performance and capital efficiencies.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  <w:t>Production Growth</w:t>
      </w:r>
    </w:p>
    <w:tbl>
      <w:tblPr>
        <w:tblW w:w="56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81"/>
        <w:gridCol w:w="109"/>
        <w:gridCol w:w="2131"/>
        <w:gridCol w:w="109"/>
        <w:gridCol w:w="1906"/>
      </w:tblGrid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8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20%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23%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21%</w:t>
            </w:r>
          </w:p>
        </w:tc>
      </w:tr>
      <w:tr>
        <w:trPr/>
        <w:tc>
          <w:tcPr>
            <w:tcW w:w="138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natural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daily oil equivalent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Matador's operational highlights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oil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43.7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barrels (“Bbl”) of oil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36.5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Bbl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oil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natural gas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191.3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cubic feet (“Bcf”) of natural gas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155.8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Bcf of natural gas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average daily oil equivalent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207,070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BOE per day, including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119,723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Bbl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oil per day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524.1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cubic feet (“MMcf”) of natural gas per day,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170,751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BOE per day, including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99,808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Bbl of oil per day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425.7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MMcf of natural gas per day,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Continued drilling of longer laterals, with an average completed lateral length for operated wells turned to sales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10,400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feet.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expenditures for drilling, completing and equipping wells (“D/C/E capital expenditures”)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$1.53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billion, which was within our estimated range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D/C/E capital expenditures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$1.47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$1.55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provided on October 21, 2025.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Improved well performance and cost efficiencies through large-scale batch developments and reduced drilling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completion costs per completed lateral foot, including increased efficiencies and capital savings through the continued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use of "simul-frac" and "trimul-frac" operations.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Capital Resources and Financial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Matador maintained a strong financial position in 2025, paying down approximately $200 million on our reserves-based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lending credit facility (the "Credit Facility") and ending the year with a leverage ratio of approximately 1.1x and liquidity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the Credit Facility of $1.8 billion. As a result of this financial strength and our commitment to return value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shareholders, the Board of Directors increased Matador’s annual dividend twice in 2025 to $1.50 per year from its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dividend of $1.00 per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  <w:t>Financial Strength</w:t>
      </w:r>
    </w:p>
    <w:tbl>
      <w:tblPr>
        <w:tblW w:w="64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41"/>
        <w:gridCol w:w="109"/>
        <w:gridCol w:w="2341"/>
        <w:gridCol w:w="109"/>
        <w:gridCol w:w="1516"/>
      </w:tblGrid>
      <w:tr>
        <w:trPr/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$1.8 Billion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$1.50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1.1x</w:t>
            </w:r>
          </w:p>
        </w:tc>
      </w:tr>
      <w:tr>
        <w:trPr/>
        <w:tc>
          <w:tcPr>
            <w:tcW w:w="234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Liquidity under our Credit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Facility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annualized dividend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share in the fourth quarter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Leverage Ratio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Matador's capital resources and financial highlights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cash provided by operating activities of $2.43 billion and adjusted free cash flow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3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$437.0 million in 2025.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our dividend policy two times during 2025, pursuant to which we increased the quarterly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dividend from $0.25 per share of Common Stock in the fourth quarter of 2024 to $0.375 per share of Common Stock.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receipt of $136.7 million in cash distributions from San Mateo Midstream, LLC ("San Mateo") and $13.0 million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incentives directly from Five Point Infrastructure LLC ("Five Point"), our joint venture partner in San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Mateo.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implementation in April 2025 of a share repurchase program (the “Share Repurchase Program”) authorizing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repurchase of up to $400.0 million of Common Stock, and the purchase of 1,351,328 shares of Common Stock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Share Repurchase Program in 2025 at a weighted average price of $41.31 per share of Common Stock for a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 of $55.8 million.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San Mateo’s secured revolving credit facility (the “San Mateo Credit Facility”) in December 2025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increase the lender commitments from $850.0 million to $1.10 billion, and to amend the accordion feature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potential increases in lender commitments of up to $1.35 billion.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upgrade to our long-term issuer default rating by Fitch Ratings from ‘BB-’ to ‘BB’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Adjusted free cash flow is a non-GAAP financial measure. For a definition of adjusted free cash flow and a reconciliation of adjusted free cash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flow to Matador’s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Director Nominees (page </w:t>
      </w:r>
      <w:hyperlink w:anchor="i7c299e44fe34467d92a6d3cda5b4fb80_31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548B"/>
            <w:sz w:val="26"/>
            <w:u w:val="single"/>
            <w:effect w:val="none"/>
          </w:rPr>
          <w:t>14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i-6"/>
      <w:bookmarkEnd w:id="5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currently has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members and is divided into three classes of directors, designated Class I, Class II and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III. Directors are elected for three-year terms. The table below provides certain summary information about each nominee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director named in this Proxy Statement: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38"/>
        <w:gridCol w:w="496"/>
        <w:gridCol w:w="974"/>
        <w:gridCol w:w="4852"/>
        <w:gridCol w:w="2145"/>
      </w:tblGrid>
      <w:tr>
        <w:trPr/>
        <w:tc>
          <w:tcPr>
            <w:tcW w:w="17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38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49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Age</w:t>
            </w:r>
          </w:p>
        </w:tc>
        <w:tc>
          <w:tcPr>
            <w:tcW w:w="974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Director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Since</w:t>
            </w:r>
          </w:p>
        </w:tc>
        <w:tc>
          <w:tcPr>
            <w:tcW w:w="4852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Principal Occupation</w:t>
            </w:r>
          </w:p>
        </w:tc>
        <w:tc>
          <w:tcPr>
            <w:tcW w:w="214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Memberships</w:t>
            </w:r>
          </w:p>
        </w:tc>
      </w:tr>
      <w:tr>
        <w:trPr/>
        <w:tc>
          <w:tcPr>
            <w:tcW w:w="17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Joseph Wm. Foran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</w:t>
            </w:r>
          </w:p>
        </w:tc>
        <w:tc>
          <w:tcPr>
            <w:tcW w:w="9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2003</w:t>
            </w:r>
          </w:p>
        </w:tc>
        <w:tc>
          <w:tcPr>
            <w:tcW w:w="48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Chairman and CEO, Matador Resources Company</w:t>
            </w:r>
          </w:p>
        </w:tc>
        <w:tc>
          <w:tcPr>
            <w:tcW w:w="2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E,CM,O,P</w:t>
            </w:r>
          </w:p>
        </w:tc>
      </w:tr>
      <w:tr>
        <w:trPr/>
        <w:tc>
          <w:tcPr>
            <w:tcW w:w="173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Reynald A. Baribault*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</w:t>
            </w:r>
          </w:p>
        </w:tc>
        <w:tc>
          <w:tcPr>
            <w:tcW w:w="9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2014</w:t>
            </w:r>
          </w:p>
        </w:tc>
        <w:tc>
          <w:tcPr>
            <w:tcW w:w="48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President and CEO, IPR Energy Partners LLC</w:t>
            </w:r>
          </w:p>
        </w:tc>
        <w:tc>
          <w:tcPr>
            <w:tcW w:w="2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A,E,NCG,SPC,O,P</w:t>
            </w:r>
          </w:p>
        </w:tc>
      </w:tr>
      <w:tr>
        <w:trPr/>
        <w:tc>
          <w:tcPr>
            <w:tcW w:w="17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Timothy E. Parker*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</w:t>
            </w:r>
          </w:p>
        </w:tc>
        <w:tc>
          <w:tcPr>
            <w:tcW w:w="9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2018</w:t>
            </w:r>
          </w:p>
        </w:tc>
        <w:tc>
          <w:tcPr>
            <w:tcW w:w="48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Former Portfolio Manager and Analyst—Natural Resources, T. Rowe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Price &amp; Associates</w:t>
            </w:r>
          </w:p>
        </w:tc>
        <w:tc>
          <w:tcPr>
            <w:tcW w:w="2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A,SD,E,NCG,SPC,CM,MM,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</w:t>
            </w:r>
          </w:p>
        </w:tc>
      </w:tr>
    </w:tbl>
    <w:tbl>
      <w:tblPr>
        <w:tblW w:w="49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6"/>
        <w:gridCol w:w="4426"/>
      </w:tblGrid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Independent Director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Audit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CM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 Markets and Finance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MM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Marketing and Midstream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NCG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Nominating and Corporate Governance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Operations and Engineering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Prospect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SD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Sustainability and Development Committee</w:t>
            </w:r>
          </w:p>
        </w:tc>
      </w:tr>
      <w:tr>
        <w:trPr/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SPC</w:t>
            </w:r>
          </w:p>
        </w:tc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Strategic Planning and Compensation Committee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Executive Compensation Highlights (page </w:t>
      </w:r>
      <w:hyperlink w:anchor="i7c299e44fe34467d92a6d3cda5b4fb80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548B"/>
            <w:sz w:val="26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i-7"/>
      <w:bookmarkEnd w:id="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Our Executive Compensation Philosophy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compensation program is designed to reward, in both the short term and the long term, performance that contributes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implementation of our business strategies, maintenance of our culture and values and achievement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objectives. We reward qualities that we believe help achieve our business strategies such as: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teamwork;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recruiting and mentoring future leaders within Matador to drive long-term shareholder value;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individual performance in light of general economic and industry-specific conditions;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relationships with shareholders and vendors;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level of job responsibility;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industry experience;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general professional growth;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ability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manage and enhance production from our existing assets;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explore new opportunities to increase oil and natural gas production;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identify and acquire additional acreage;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improve total shareholder returns;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increase year-over-year proved reserves;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control unit production costs;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pursue midstream opportunities.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a discussion of our executive compensation program, see “Executive Compensation—Compensation Discussion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and Analysis” beginning on page </w:t>
      </w:r>
      <w:hyperlink w:anchor="i7c299e44fe34467d92a6d3cda5b4fb80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INFORMATION ABOUT THE ANNUAL MEETING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furnishing you this Proxy Statement in connection with the solicitation of proxies by the Board to be used at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and any adjournment thereof. The Annual Meeting will be held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Thursday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11,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9:30 a.m.,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Central Daylight Time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We are sending this Proxy Statement to our shareholders on or about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29,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references in this Proxy Statement to “we,” “our,” “us,” “Matador” or the “Company” refer to Matador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Company, including our subsidiaries and affiliates.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is the purpose of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i-8"/>
      <w:bookmarkEnd w:id="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At the Annual Meeting, shareholders will act upon the following matters outlined in the Annual Meeting notice: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election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nominees for director named in this Proxy Statement;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 advisory vote to approve the compensation of our named executive officers as described herein;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the Company’s independent registered public accounting firm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other matters that may properly come before the meeting.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are the Board’s voting recommendations?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i-9"/>
      <w:bookmarkEnd w:id="8"/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election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nominees for director named in this Proxy Statement;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approval, on an advisory basis, of the compensation of the Company’s named executive officers;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as the Company’s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firm for the year ending December 31, 2026.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is entitled to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i-10"/>
      <w:bookmarkEnd w:id="9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as of the close of business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eligible to vote their shares at the Annual Meeting.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Record Date, there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124,200,880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our Common Stock outstanding. Each share of Common Stock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one vote at the Annual Meeting.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Why did I receive a Notice Regarding the Internet Availability of Proxy Materials in the mail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instead of a full set of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" w:name="i-11"/>
      <w:bookmarkEnd w:id="1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and Exchange Commission (“SEC”) rules allow companies to furnish proxy materials over the Internet.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elected to send a separate Notice of Internet Availability of Proxy Materials (the “Notice”) to most of our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instead of a paper copy of the proxy materials. This approach conserves natural resources and reduces the costs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printing and distributing our proxy materials while providing shareholders with a convenient way to access our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materials. Instructions on how to access the proxy materials over the Internet or to request a paper copy of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materials, including a proxy card or voting instruction form, may be found in the Notice. In addition, shareholders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request to receive future proxy materials in printed form by mail or electronically by email by following the instructions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Notice. A shareholder’s election to receive proxy materials by mail or email will remain in effect until the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terminates it.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do I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i-12"/>
      <w:bookmarkEnd w:id="1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You may: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attend the Annual Meeting and vote in person;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dial the toll-free number listed on the Notice, proxy card or voting instruction form provided by your broker. Easy-to-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follow voice prompts allow you to vote your shares and confirm that your voting instructions have been properly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recorded. Telephone voting will be available 24 hours a day and will close at 11:59 p.m., Eastern Daylight Time,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June 10, 2026;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go to the website www.proxyvote.com and follow the instructions, then confirm that your voting instructions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properly recorded. If you vote using the website, you can request electronic delivery of future proxy materials. Internet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voting will be available 24 hours a day and will close at 11:59 p.m., Eastern Daylight Time, on June 10, 2026;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if you received a paper copy of your proxy materials and elect to vote by written submission, mark your selections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proxy card, date and sign it, and return the card in the pre-addressed, postage-paid envelope provided.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Why did I receive paper copies of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i-13"/>
      <w:bookmarkEnd w:id="1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providing certain shareholders with paper copies of the proxy materials instead of a separate Notice. If you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a paper copy and would no longer like to receive printed proxy materials, you may consent to receive all future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proxy materials electronically via email or the Internet. To sign up for electronic delivery, please follow the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in your proxy materials. When prompted, indicate that you agree to receive or access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communications electronically in the future.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Will each shareholder in our household receive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i-14"/>
      <w:bookmarkEnd w:id="1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Generally, no. To the extent you are receiving printed proxy materials, we try to provide only one set of proxy materials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 delivered to multiple shareholders sharing an address, unless you have given us other instructions. Any shareholder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shared address may request delivery of single or multiple copies of printed proxy materials for future meetings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contacting us at: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Attention: Investor Relations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Email: investors@matadorresources.com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Telephone: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(972) 371-5200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undertake to deliver promptly, upon written or oral request, a copy of proxy materials to a shareholder at a shared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address to which a single copy of the proxy materials was delivered. Requests should be directed to Investor Relations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address or phone number set forth above.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will be admitted to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i-15"/>
      <w:bookmarkEnd w:id="1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Admission to the Annual Meeting will be limited to our shareholders of record, persons holding proxies from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shareholders, beneficial owners of our Common Stock and our employees. If your shares are registered in your name,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verify your ownership at the meeting in our list of shareholders as of the Record Date. If your shares are held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broker, bank or other nominee, you must bring proof of your ownership of the shares. This proof could consist of,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example, a bank or brokerage firm account statement or a letter from your bank or broker confirming your ownership 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Record Date. You may also send proof of ownership to us at Matador Resources Company, Attention: Corporate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Secretary,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or email: investors@matadorresources.com, before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Meeting, and we will send you an admission card.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If I vote via telephone or the Internet or by mailing my proxy card, may I still attend the Annual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i-16"/>
      <w:bookmarkEnd w:id="1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Yes.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if I want to change my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i-17"/>
      <w:bookmarkEnd w:id="1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may revoke your proxy before it is voted by submitting a new proxy with a later date (by mail, telephone 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Internet), by voting at the Annual Meeting or by filing a written revocation with our Corporate Secretary. Your attendance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Annual Meeting will not automatically revoke your proxy.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constitutes a quorum?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i-18"/>
      <w:bookmarkEnd w:id="1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majority of the shares entitled to vote, present in person or represented by proxy, constitutes a quorum. If you vote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telephone or Internet or by returning your proxy card, you will be considered part of the quorum. The Inspector of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treat shares represented by a properly executed proxy as present at the meeting. Abstentions and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counted for purposes of determining a quorum. A broker non-vote occurs when a nominee holding shares for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 owner submits a proxy but does not vote on a particular proposal because the nominee does not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discretionary voting power for that item and has not received instructions from the beneficial owner.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many votes will be required to approve a proposal?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8" w:name="i-19"/>
      <w:bookmarkEnd w:id="18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a majority of the votes cast by holders of shares of Common Stock present in person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represented by proxy and entitled to vote on the election of directors at the Annual Meeting is required for the election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nominee for director. With respect to the election of directors in an uncontested election, such as that being held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Annual Meeting, “majority of the votes cast” means the number of votes cast “for” such nominee exceeds the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votes cast “against” such nominee.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respect to all other matters, the affirmative vote of the holders of a majority of the shares of Common Stock,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person or represented by proxy and entitled to vote at the Annual Meeting, is required.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Shares cannot be voted at the Annual Meeting unless the holder of record is present in person or represented by proxy.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Can brokers who hold shares in street name vote those shares if they have received no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instructions?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9" w:name="i-20"/>
      <w:bookmarkEnd w:id="19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rules of the New York Stock Exchange (“NYSE”), brokers may not vote the shares held by them in street name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their customers and for which they have not received instructions, except with respect to a routine matter. The only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 to be voted on at the Annual Meeting that is considered routine for these purposes is the ratification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appointment of our independent registered public accounting firm. Accordingly, brokers may not vote your shares on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matter if you have not given specific instructions as to how to vote. Please be sure to give specific voting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your broker so that your vote will be counted.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will you treat abstentions and broker non-votes?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" w:name="i-21"/>
      <w:bookmarkEnd w:id="2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a shareholder who abstains from voting on any or all proposals will be included for the purpose of determining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presence of a quorum. Other than with respect to the election of directors, an abstention will effectively count as a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cast against the remaining proposals. Broker non-votes on any matter, as to which the broker has indicated on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it does not have discretionary authority to vote, will be treated as shares not entitled to vote with respect to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matter. However, such shares will be considered present and entitled to vote for quorum purposes so long as they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vote on at least one other matter.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pays the solicitation expenses?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1" w:name="i-22"/>
      <w:bookmarkEnd w:id="2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bear the cost of solicitation of proxies. Proxies may be solicited by mail or personally by our directors, officers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employees, none of whom will receive additional compensation for such solicitation. Those holding shares of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of record for the benefit of others, or nominee holders, are being asked to distribute proxy soliciting materials to,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request voting instructions from, the beneficial owners of such shares. We will reimburse nominee holders for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reasonable out-of-pocket expenses.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Where can I find the voting results of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" w:name="i-23"/>
      <w:bookmarkEnd w:id="2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announce preliminary voting results at the Annual Meeting, and we will publish final results in a Current Report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 8-K that will be filed with the SEC within four business days of the Annual Meeting. You may obtain a copy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other reports free of charge at www.matadorresources.com, by contacting our Investor Relations Department at (972)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371-5200 or investors@matadorresources.com or by accessing the SEC’s website at www.sec.gov.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Will the Company’s independent registered public accounting firm be available at the Annual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Meeting to respond to questions?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" w:name="i-24"/>
      <w:bookmarkEnd w:id="23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Yes. The Audit Committee of the Board has appointed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serve 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firm for the year ending December 31, 2026. Representatives of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will be present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Meeting. They will have an opportunity to make a statement, if they desire to do so, and will be available to respond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appropriate questions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Where can I contact the Company?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5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4" w:name="i-25"/>
      <w:bookmarkEnd w:id="2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mailing address is: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Attention: Investor Relations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telephone number is (972) 371-5200.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1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| ELECTION OF DIRECTORS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currently consists of 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members and is divided into three classes of directors, designated Class I, Class II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Class III, with the term of office of each director ending on the date of the third annual meeting following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meeting at which such director’s class was elected. The number of directors in each class will be as nearly equal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possible. The Class I directors are William M. Byerley, Monika U. Ehrman and Kenneth L. Stewart, the terms of whom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continue until the 2027 Annual Meeting of Shareholders or his or her earlier death, retirement, resignation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removal. The Class II directors are Shelley F. Appel, R. Gaines Baty, Paul W. Harvey and Susan M. Ward, the terms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whom will each continue until the 2028 Annual Meeting of Shareholders or his or her earlier death, retirement, resignation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removal. The Class III directors are Joseph Wm. Foran, Reynald A. Baribault and Timothy E. Parker, each of whom is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Class III director nominee at the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Meeting, in each case, to hold office until the 2029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Shareholders or his earlier death, retirement, resignation or removal.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believes its current composition provides an appropriate balance of industry expertise, financial experience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operational leadership, enabling effective oversight of the Company’s strategy, capital allocation and risk management.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reflects a combination of longer-tenured directors with deep knowledge of the Company and more recently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appointed independent directors who bring fresh perspectives. The Board also believes that each of the director nominees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possesses the qualifications described below in “Corporate Governance—Board Committees—Nominating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Governance Committee.” That is, the Board believes that each nominee possesses: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deep experience at the policy making level in business, government or education;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availability and willingness to devote adequate time to Board duties;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character, judgment and ability to make independent analytical, probing and other inquiries;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 willingness to exercise independent judgment along with a willingness to listen and learn from others;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business knowledge and experience that provides a balance with the other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independence;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excellent past performance on the Board.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Skills &amp; Experience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6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" w:name="i-26"/>
      <w:bookmarkEnd w:id="25"/>
    </w:p>
    <w:tbl>
      <w:tblPr>
        <w:tblW w:w="96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616"/>
        <w:gridCol w:w="676"/>
        <w:gridCol w:w="511"/>
        <w:gridCol w:w="616"/>
        <w:gridCol w:w="916"/>
        <w:gridCol w:w="766"/>
        <w:gridCol w:w="826"/>
        <w:gridCol w:w="736"/>
        <w:gridCol w:w="811"/>
        <w:gridCol w:w="63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Foran</w:t>
            </w:r>
          </w:p>
        </w:tc>
        <w:tc>
          <w:tcPr>
            <w:tcW w:w="67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Parker</w:t>
            </w:r>
          </w:p>
        </w:tc>
        <w:tc>
          <w:tcPr>
            <w:tcW w:w="51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Baty</w:t>
            </w:r>
          </w:p>
        </w:tc>
        <w:tc>
          <w:tcPr>
            <w:tcW w:w="6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Appel</w:t>
            </w:r>
          </w:p>
        </w:tc>
        <w:tc>
          <w:tcPr>
            <w:tcW w:w="9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Baribault</w:t>
            </w:r>
          </w:p>
        </w:tc>
        <w:tc>
          <w:tcPr>
            <w:tcW w:w="76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Byerley</w:t>
            </w:r>
          </w:p>
        </w:tc>
        <w:tc>
          <w:tcPr>
            <w:tcW w:w="82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Ehrman</w:t>
            </w:r>
          </w:p>
        </w:tc>
        <w:tc>
          <w:tcPr>
            <w:tcW w:w="73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Harvey</w:t>
            </w:r>
          </w:p>
        </w:tc>
        <w:tc>
          <w:tcPr>
            <w:tcW w:w="81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Stewart</w:t>
            </w:r>
          </w:p>
        </w:tc>
        <w:tc>
          <w:tcPr>
            <w:tcW w:w="63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Ward</w:t>
            </w:r>
          </w:p>
        </w:tc>
      </w:tr>
      <w:tr>
        <w:trPr/>
        <w:tc>
          <w:tcPr>
            <w:tcW w:w="9686" w:type="dxa"/>
            <w:gridSpan w:val="11"/>
            <w:tcBorders>
              <w:top w:val="single" w:sz="8" w:space="0" w:color="1B60AE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 Skills &amp; Experience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Leadership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Energy Industry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Finance &amp; Accounting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Human Capital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Management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Legal, Regulatory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Environmental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Risk Assessment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Management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Strategic Planning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Corporate Governance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Ethics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1B60AE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Markets &amp; M&amp;A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9686" w:type="dxa"/>
            <w:gridSpan w:val="11"/>
            <w:tcBorders>
              <w:top w:val="single" w:sz="8" w:space="0" w:color="1B60AE"/>
              <w:bottom w:val="single" w:sz="8" w:space="0" w:color="1B60AE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Age and Tenure</w:t>
            </w:r>
          </w:p>
        </w:tc>
      </w:tr>
      <w:tr>
        <w:trPr/>
        <w:tc>
          <w:tcPr>
            <w:tcW w:w="2581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Age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1</w:t>
            </w:r>
            <w:r>
              <w:rPr>
                <w:caps w:val="false"/>
                <w:smallCaps w:val="false"/>
              </w:rPr>
              <w:t xml:space="preserve">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75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</w:t>
            </w:r>
          </w:p>
        </w:tc>
      </w:tr>
      <w:tr>
        <w:trPr/>
        <w:tc>
          <w:tcPr>
            <w:tcW w:w="258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Board Tenure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 As of April 13,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lack of a • does not mean the lack of a skill or experience. The • indicates a particularly prominent expertise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 brings to the Board.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Nominees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7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" w:name="i-27"/>
      <w:bookmarkEnd w:id="2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information provided below is biographical information about each of the nominees, as well as a description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experience, qualifications, attributes or skills that led the Board to conclude that the individual should be nominated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election as a director of the Company. No director currently holds any other directorships with public companies.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214"/>
        <w:gridCol w:w="1121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J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 xml:space="preserve">OSEPH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 xml:space="preserve">ORAN </w:t>
            </w:r>
          </w:p>
        </w:tc>
        <w:tc>
          <w:tcPr>
            <w:tcW w:w="621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Chairman and CEO, Matador Resources Company</w:t>
            </w:r>
          </w:p>
        </w:tc>
        <w:tc>
          <w:tcPr>
            <w:tcW w:w="11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" w:name="i-28"/>
            <w:bookmarkEnd w:id="27"/>
          </w:p>
        </w:tc>
        <w:tc>
          <w:tcPr>
            <w:tcW w:w="621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Foran founded Matador Resources Company in July 2003 and since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founding has served as Chairman of the Board and Chief Executive Officer 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through March 31, 2022, Secretary. He is also chair of the Board’s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Committee. Mr. Foran began his career as an oil and natural gas independent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1983 when he and his wife, Nancy, founded Foran Oil Company with $270,000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contributed capital from 17 of his closest friends and neighbors. Foran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Company was later contributed into Matador Petroleum Corporation upon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formation by Mr. Foran in 1988, and Mr. Foran served as Chairman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Officer of that company from inception until the time of its sale to Tom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Brown, Inc. in June 2003 for an enterprise value of $388 million in an all-cash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 on a Friday. On the following Monday, Mr. Foran founded Matador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 (Matador II). Today, Matador is one of the top 20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exploration and production companies in the country by market capitalization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one of the top 10 oil and natural gas producers in New Mexico. Mr. Foran 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originally from Amarillo, Texas, where his family owned a pipeline construction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business. From 1980 to 1983, he was Vice President and General Counsel of J.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Cleo Thompson and James Cleo Thompson, Jr., Oil Producers, a large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 producer. Prior to that time, he was a briefing attorney to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Justice Joe R. Greenhill of the Supreme Court of Texas. Mr. Foran graduated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 Bachelor of Science degree in Accounting from the University of Kentucky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highest honors and a law degree from the Southern Methodist University Dedman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School of Law, where he was a Hatton W. Sumners scholar and the Leading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Articles Editor on the Southwestern Law Review. Mr. Foran taught Accounting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Southern Methodist University and Business Law at The University of Texas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Dallas. He is currently active as a member of various industry and civic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organizations, including his church and various youth activities. In 2002, Mr. Foran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honored as the Ernst &amp; Young “Entrepreneur of the Year” for the Southwest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Region. In 2015, he was inducted into the University of Kentucky Gatton College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Business and Economics Hall of Fame. In 2019, Mr. Foran received the SMU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Dedman School of Law Distinguished Alumni Award for Corporate Service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named D CEO Magazine’s 2019 Upstream CEO of the Year. In 2020,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inducted into the Philosophical Society of Texas. He was also named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Institutional Investors’ All-American Executive Team as one of the top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officers in the Small Cap Energy Division in 2021. In 2024, at D CEO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Magazine’s Energy Awards ceremony, Mr. Foran was awarded the prestigious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Legacy Award for lifetime achievement.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Chairman of the Board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2003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73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(Chair)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the founder, Chairman of the Board and Chief Executive Officer of Matador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Company, Mr. Foran provides Board leadership, industry experience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long relationships with many of our shareholders.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15"/>
        <w:gridCol w:w="5938"/>
        <w:gridCol w:w="1196"/>
        <w:gridCol w:w="156"/>
      </w:tblGrid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EYNALD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A. 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ARIBAULT </w:t>
            </w:r>
          </w:p>
        </w:tc>
        <w:tc>
          <w:tcPr>
            <w:tcW w:w="5938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President and CEO, IPR Energy Partners LLC</w:t>
            </w:r>
          </w:p>
        </w:tc>
        <w:tc>
          <w:tcPr>
            <w:tcW w:w="11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" w:name="i-29"/>
            <w:bookmarkEnd w:id="28"/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was elected to the Board in 2014 and is chair of the Board’s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Operations and Engineering Committee and Prospect Committee. He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lead independent director of the Board from 2016 to 2019. In 2007, he co-founded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North Plains Energy, LLC, which operated in the North Dakota Williston Basin,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served as its Vice President until the successful sale of its assets in 2012. In 2014,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helped co-found NP Resources, LLC, which also operated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North Dakota Williston Basin, and served as its Executive Vice President /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Engineering, helping oversee the sale of its assets in late 2021. In addition,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cofounded and serves as President and Chief Executive Officer of IPR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Partners, LLC, a Plano, Texas-based oil and natural gas production operator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current operations in the Fort Worth Basin. As the President and CEO of IPR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Partners, LLC, Mr. Baribault is tasked with specific risk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responsibilities. Prior to co-founding North Plains Energy, NP Resources and IPR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Partners, Mr. Baribault served as Vice President, Supervisor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Petroleum Engineering Consultant with Netherland, Sewell &amp; Associates, Inc.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their Dallas office from 1990 to 2002. Mr. Baribault began his professional career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reservoir engineer with Exxon Company in 1985 in the New Orleans Eastern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Division Office. Mr. Baribault received his Bachelor of Science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Petroleum Engineering from Louisiana State University in 1985 and is a Licensed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Professional Engineer in the State of Texas.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2014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62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Operations and Engineering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 (Chair)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Governance </w:t>
            </w:r>
          </w:p>
        </w:tc>
        <w:tc>
          <w:tcPr>
            <w:tcW w:w="7134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134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provides valuable insight to our Board on our drilling, completions,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and reservoir engineering operations, as well as growth strategies,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midstream operations and administration.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6321"/>
        <w:gridCol w:w="954"/>
        <w:gridCol w:w="154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T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IMOTHY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E. P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ARKER </w:t>
            </w:r>
          </w:p>
        </w:tc>
        <w:tc>
          <w:tcPr>
            <w:tcW w:w="63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Portfolio Manager and Analyst—Natural Resources,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T. Rowe Price &amp; Associates</w:t>
            </w:r>
          </w:p>
        </w:tc>
        <w:tc>
          <w:tcPr>
            <w:tcW w:w="95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945005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94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" w:name="i-30"/>
            <w:bookmarkEnd w:id="29"/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was appointed to the Board in 2018, serves as lead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director and is chair of the Board’s Capital Markets and Finance Committee.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Parker currently serves as a contractor in charge of research for Brightworks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Wealth Management, LLC. Mr. Parker retired in 2017 as Portfolio Manager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Analyst—Natural Resources for T. Rowe Price &amp; Associates. Mr. Parker joined T.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Rowe Price in 2001 as an equity analyst before becoming a portfolio manager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2010. He managed the New Era fund from 2010 to 2013 and managed the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natural resources portions of T. Rowe Price’s Small Cap Value, Small Cap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and New Horizons funds from 2013 to 2017. Prior to joining T. Rowe Price,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was an investment banking analyst at Robert W. Baird &amp; Co., Inc.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Parker holds a Bachelor of Science degree in Commerce from the University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Virginia and a Master of Business Administration degree from the Darden School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of Graduate Business (University of Virginia).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Lead Independent Director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2018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51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27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Capital Markets and Finance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27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Parker’s experience with a large institutional shareholder and his extensive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familiarity with the oil and natural gas industry and capital markets provide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Company with valuable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27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27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Governance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1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" w:name="i-31"/>
      <w:bookmarkEnd w:id="3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a majority of the votes cast by holders of shares present in person or represented by proxy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entitled to vote on the election of directors at the Annual Meeting is required for the election of each nominee for director.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respect to the election of directors in an uncontested election, such as that being held at the Annual Meeting,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majority of the votes cast” means the number of votes cast “for” such nominee exceeds the number of votes cast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against” such nominee. If you hold your shares through a broker and you do not instruct the broker how to vote,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 will not have the authority to vote your shares. Abstentions and broker non-votes will each be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purposes of determining the presence of a quorum.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The Board of Directors recommends that you vote FOR each of the nominees.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2" name="Image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2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1" w:name="i-32"/>
      <w:bookmarkEnd w:id="31"/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Directors Continuing in Office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3" name="Image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3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2" w:name="i-33"/>
      <w:bookmarkEnd w:id="3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Biographical information for our directors who are continuing in office is provided below.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397"/>
        <w:gridCol w:w="953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S.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HELLEY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F. 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PPEL</w:t>
            </w:r>
          </w:p>
        </w:tc>
        <w:tc>
          <w:tcPr>
            <w:tcW w:w="6397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Senior Investor Relations Officer and Mergers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Acquisitions Manager, Royal Dutch Shell PLC</w:t>
            </w:r>
          </w:p>
        </w:tc>
        <w:tc>
          <w:tcPr>
            <w:tcW w:w="95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97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802130"/>
                  <wp:effectExtent l="0" t="0" r="0" b="0"/>
                  <wp:docPr id="34" name="Image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0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" w:name="i-34"/>
            <w:bookmarkEnd w:id="33"/>
          </w:p>
        </w:tc>
        <w:tc>
          <w:tcPr>
            <w:tcW w:w="639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Appel was appointed to the Board in 2023 after serving as a Special Advisor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the Board since October 2022 and is co-chair of the Board's Sustainability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Development Committee. Since January 2021, Ms. Appel has also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Matador’s ESG Coordinator. As ESG Coordinator, Ms. Appel is the primary author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the Company’s annual sustainability report. Following her graduation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school at the University of Chicago, Ms. Appel joined Royal Dutch Shell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PLC in August 2017 in the Mergers &amp; Acquisitions group, where she served 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with responsibility for financial analysis—including valuation, structuring,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negotiation and due diligence—for over $18 billion of acquisition and divestment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opportunities. In December 2019, Ms. Appel was promoted to Senior Investor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Relations Officer. In this role, Ms. Appel had responsibility for Shell’s global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Upstream business narrative. She also served as an authorized spokesperson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Shell at investor meetings and conferences and managed relationships with North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America based investors and research analysts. Following graduation from Yale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prior to attending the University of Chicago, Ms. Appel began her career at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parent company of the New York Stock Exchange, NYSE Euronext, as a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analyst in its Corporate Strategy group. She participated in the evaluation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implementation of its $11 billion merger with the Intercontinental Exchange Group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continued in the Corporate Strategy group of the combined company until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June 2015. Ms. Appel holds a Bachelor of Arts degree, with honors, in Cognitive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Science from Yale University and a Master of Business Administration degree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the Booth School of Business (University of Chicago). Ms. Appel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Co-Chair of the Energy Group while attending the University of Chicago.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Director since: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2023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36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 (Co-Chair)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Appel’s extensive knowledge and experience with the Company’s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sustainability initiatives and investor relations experience provides the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valuable insight and leadership on these matters.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5989"/>
        <w:gridCol w:w="1346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R. G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AINES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ATY</w:t>
            </w:r>
          </w:p>
        </w:tc>
        <w:tc>
          <w:tcPr>
            <w:tcW w:w="5989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CEO, R. Gaines Baty Associates, Inc.</w:t>
            </w:r>
          </w:p>
        </w:tc>
        <w:tc>
          <w:tcPr>
            <w:tcW w:w="134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35" name="Image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" w:name="i-35"/>
            <w:bookmarkEnd w:id="34"/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 was appointed to the Board in 2016. He serves as deputy lead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 director and is chair of the Board’s Strategic Planning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Committee. Mr. Baty is CEO of R. Gaines Baty Associates, Inc.,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leading executive search firm he founded in 1982 after working with the IBM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Corporation. With over 30 years of experience, Mr. Baty has provided companies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across the country and in a variety of industries with executive search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advisory services. Mr. Baty has served as a two-term President of the Society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Recruiting Consultants and a two-term President of the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Recruiter Group. Mr. Baty is also a published author. Mr. Baty received a Bachelor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Business Administration degree from Texas Tech University, where he was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football team letterman, captain and, later, graduate assistant coach.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Deputy Lead Independent 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2016</w:t>
            </w:r>
          </w:p>
        </w:tc>
        <w:tc>
          <w:tcPr>
            <w:tcW w:w="733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3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Baty’s experience and expertise in executive leadership and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provide our Board with an important and unique perspective on these matters,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 assists the Board and the Company with recruitment,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administration, compensation and growth strategies.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75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 (Chair)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</w:t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6313"/>
        <w:gridCol w:w="932"/>
        <w:gridCol w:w="154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ILLIAM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M. 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YERLEY</w:t>
            </w:r>
          </w:p>
        </w:tc>
        <w:tc>
          <w:tcPr>
            <w:tcW w:w="631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Retired Partner, PricewaterhouseCoopers LLP (PwC)</w:t>
            </w:r>
          </w:p>
        </w:tc>
        <w:tc>
          <w:tcPr>
            <w:tcW w:w="932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92960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" w:name="i-36"/>
            <w:bookmarkEnd w:id="35"/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Byerley was appointed to the Board in 2016 and is chair of the Board’s Audit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Committee. Mr. Byerley retired from PricewaterhouseCoopers LLP (PwC) in 2014.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1988 through 2014, Mr. Byerley was a Partner with PwC, serving as 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Assurance Partner on various audit engagements primarily for energy sector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clients. From 1988 through 1990, Mr. Byerley served in the PwC National Office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Accounting Services Group. Mr. Byerley received a Bachelor of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Administration degree in 1975 and a Master of Business Administration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1976, both from Southern Methodist University. He is a licensed Certified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Accountant.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2016</w:t>
            </w:r>
          </w:p>
        </w:tc>
        <w:tc>
          <w:tcPr>
            <w:tcW w:w="724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24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Byerley’s extensive experience in public accounting and longtime service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sector clients of PwC provide the Board with invaluable financial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accounting expertise, particularly for oil and natural gas companies,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strong accounting and financial oversight and risk management expertise.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72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 (Chair)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(</w:t>
            </w:r>
            <w:r>
              <w:rPr>
                <w:rFonts w:ascii="Arial;sans-serif" w:hAnsi="Arial;sans-serif"/>
                <w:b w:val="false"/>
                <w:i/>
                <w:sz w:val="18"/>
              </w:rPr>
              <w:t>Ex Officio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21"/>
        <w:gridCol w:w="6457"/>
        <w:gridCol w:w="863"/>
        <w:gridCol w:w="154"/>
      </w:tblGrid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S.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ONIKA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U. 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HRMAN</w:t>
            </w:r>
          </w:p>
        </w:tc>
        <w:tc>
          <w:tcPr>
            <w:tcW w:w="6457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Professor of Law, Southern Methodist University Dedman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School of Law</w:t>
            </w:r>
          </w:p>
        </w:tc>
        <w:tc>
          <w:tcPr>
            <w:tcW w:w="86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7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866900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" w:name="i-37"/>
            <w:bookmarkEnd w:id="36"/>
          </w:p>
        </w:tc>
        <w:tc>
          <w:tcPr>
            <w:tcW w:w="64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8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Professor Ehrman was appointed to the Board in 2019 and is co-chair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Board's Sustainability and Development Committee. She is Professor of Law,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Southern Methodist University Dedman School of Law, and a Professor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 (by courtesy), Southern Methodist University Lyle School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Engineering. Prior to joining SMU, in 2023, she was Associate Professor of Law,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of North Texas at Dallas College of Law and a tenured Professor of Law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the University of Oklahoma College of Law, where she led the Oil &amp; Gas,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Resources, and Energy (ONE) Program and served as the Faculty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Director of the ONE Center. While at OU, she taught in the J.D. and graduate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programs at the College of Law and in the Executive Energy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Program at the Price College of Business. Professor Ehrman joined the University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Oklahoma College of Law in 2013 as Associate Professor of Law. Prior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teaching, she served as in-house legal counsel for two oil and natural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companies from 2008 to 2012 and as an associate oil and natural gas attorney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 international law firm from 2005 to 2008. Before law school, Professor Ehrman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worked as a petroleum engineer in the upstream, midstream and pipeline sectors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the energy industry. In addition to serving on various oil and natural gas law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committees, she also served as an Editor of the Oil and Gas Reporter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Institute for Energy Law. Professor Ehrman is currently Immediate Past Chair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Association of American Law Schools' Section on Natural Resources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Energy, a Trustee of The Foundation for Natural Resources and Energy Law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she is on the Editorial Board of the Journal of World Energy Law &amp;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(published by Oxford University Press). Professor Ehrman received her Bachelor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Science degree in Petroleum Engineering from the University of Alberta; J.D.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Southern Methodist University Dedman School of Law; and Master of Laws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degree from Yale Law School.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2019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48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 (Co-Chair)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Governance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Professor Ehrman provides valuable insight to our Board on our engineering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midstream operations as well as legal and governance matters.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301"/>
        <w:gridCol w:w="1004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P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AUL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W. H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ARVEY</w:t>
            </w:r>
          </w:p>
        </w:tc>
        <w:tc>
          <w:tcPr>
            <w:tcW w:w="630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Former Chief Investment Officer, Vaquero Private Wealth</w:t>
            </w:r>
          </w:p>
        </w:tc>
        <w:tc>
          <w:tcPr>
            <w:tcW w:w="100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  <w:r>
              <w:rPr>
                <w:caps w:val="false"/>
                <w:smallCaps w:val="false"/>
                <w:strike w:val="false"/>
                <w:dstrike w:val="false"/>
                <w:color w:val="5087C6"/>
                <w:sz w:val="24"/>
                <w:u w:val="none"/>
                <w:effect w:val="none"/>
              </w:rPr>
              <w:t xml:space="preserve">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5410" cy="2075815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207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" w:name="i-38"/>
            <w:bookmarkEnd w:id="37"/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Harvey was appointed to the Board in 2025. Mr. Harvey is a Private Wealth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Advisor and former Chief Investment Officer of Vaquero Private Wealth.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Harvey has more than four decades of investment experience as both a portfolio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and private wealth advisor with extensive experience in investment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selection, asset allocation and portfolio construction. Before joining Vaquero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Private Wealth, Mr. Harvey was a Managing Director of BlackRock, Inc., leading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large team of investment professionals responsible for high-net-worth individuals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institutions in twenty-nine states. In this capacity, he supported the design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investment solutions that included multi-asset strategies combining active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passive portfolios along with alternative investments. Previously, he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Regional Director and Portfolio Manager with Merrill Lynch Asset Management,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where he developed customized portfolios for individual clients and oversaw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regional team of portfolio managers. Mr. Harvey earned his Master of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Administration degree with a concentration in Finance from Southern Methodist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University’s Cox School of Business and his Bachelor of Business Administration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degree in Finance from the University of Texas at Austin. He holds the Chartered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Analyst designation and has earned the Certified Private Wealth Advisor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67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Governance </w:t>
            </w:r>
          </w:p>
        </w:tc>
        <w:tc>
          <w:tcPr>
            <w:tcW w:w="730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Harvey's experience as an investment professional provides the Company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with valuable insight, particularly with respect to investor relations and capital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1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  <w:gridCol w:w="6586"/>
        <w:gridCol w:w="824"/>
        <w:gridCol w:w="154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 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ENNETH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L. 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TEWART</w:t>
            </w:r>
          </w:p>
        </w:tc>
        <w:tc>
          <w:tcPr>
            <w:tcW w:w="658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Retired EVP, Compliance and Legal Affairs, Children’s Health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System of Texas; Retired Partner, Chair—United States,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Norton Rose Fulbright US LLP</w:t>
            </w:r>
          </w:p>
        </w:tc>
        <w:tc>
          <w:tcPr>
            <w:tcW w:w="82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772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" w:name="i-39"/>
            <w:bookmarkEnd w:id="38"/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Stewart was appointed to the Board in 2017 and is chair of the Board's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Nominating and Corporate Governance Committee and Shareholder Advisory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 for Board Nominations. Mr. Stewart was most recently employed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Vice President, Compliance and Legal Affairs, for Children’s Health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System of Texas from January 1, 2019 until he retired on January 2, 2021. At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time, Children’s Health System of Texas and its affiliates constituted one of the ten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largest pediatric hospital systems in the United States. Previously, effective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December 31, 2018, Mr. Stewart retired from Norton Rose Fulbright US LLP,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United States operations of Norton Rose Fulbright, an international legal practice,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which then had over 3,700 legal professionals in over 50 cities worldwide. At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retirement, Mr. Stewart was a Partner with Norton Rose Fulbright and held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position of Chair—United States. Mr. Stewart began his legal career with Fulbright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&amp; Jaworski LLP, the predecessor to Norton Rose Fulbright US LLP, and previously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held positions of Global Chair of the international organization, Managing Partner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the United States region and Partner-in-Charge of the Dallas office. Prior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entering into full-time management for his firm in 2012, he engaged in a domestic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international transactional legal practice, focusing principally on merger,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acquisition, financing and joint venture activities for both public and privately-held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entities. Mr. Stewart has extensive experience representing and advising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companies and their executive officers and boards of directors engaged in oil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gas exploration and midstream activities. Since his retirement from Norton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Rose Fulbright, Mr. Stewart has acted, and from time to time continues to act, on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limited basis as an independent contractor senior business consultant to family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offices for which he provided services during his legal career. Mr. Stewart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graduated from the University of Arkansas School of Business in 1976 with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Bachelor of Science in Business Administration degree in Accounting and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licensed as a Certified Public Accountant in Texas in 1981 (certificate now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nonpractice status). He graduated with honors from Vanderbilt Law School in 1979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was a member of the Order of the Coif. Mr. Stewart has been active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numerous civic and professional organizations in the Dallas area in the past,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including among others, the Dallas Regional Chamber, The Center for American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International Law and the Dallas Citizens Council.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2017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72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Governance (Chair)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Stewart’s extensive experience representing public companies,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particularly oil and natural gas companies, along with his years of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experience, provide our Board with important legal, corporate governance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leadership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1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6420"/>
        <w:gridCol w:w="975"/>
        <w:gridCol w:w="154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 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USAN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M. 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ARD</w:t>
            </w:r>
          </w:p>
        </w:tc>
        <w:tc>
          <w:tcPr>
            <w:tcW w:w="6420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Head, M&amp;A and Commercial Finance, Shell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Company</w:t>
            </w:r>
          </w:p>
        </w:tc>
        <w:tc>
          <w:tcPr>
            <w:tcW w:w="975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9" w:name="i-40"/>
            <w:bookmarkEnd w:id="39"/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Ward was appointed to the Board in 2024 and is chair of the Board's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Marketing and Midstream Committee. Ms. Ward is a former 12-year Senior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of Shell Oil Company (“Shell”) with over 20 years of service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retirement in 2019. Her senior roles at Shell included Head, M&amp;A and Commercial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Finance for all of Shell’s businesses in the Americas; Vice President,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Officer and Board member of Shell Midstream Partners, which she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helped take public for Shell in 2014; and Vice President, Upstream Commercial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Finance, Shell International Exploration &amp; Production B.V. while based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Hague for Royal Dutch Shell. She also served as a Board member of Shell’s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deepwater drillship joint venture with Noble Corporation. Ms. Ward has been 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independent, non-executive Board member of Crescent Midstream (“Crescent”)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since July 2023. Crescent is an independent energy company providing offshore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onshore crude oil services in the Gulf of Mexico and Louisiana. She also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served as an Independent Director of publicly traded TransAlta Renewables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headquartered in Calgary, Canada from May 2021 until October 2023 when it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purchased by its parent, TransAlta Corporation. Prior to joining Shell in 1998, Ms.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Ward worked as an investment banker in the energy sector for 11 years,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Managing Director in the Natural Resources and Energy investment banking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group of UBS Securities. She began her career working for Exxon as a refining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process engineer and subsequently worked in Mobil’s Finance organization at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New York City headquarters. Ms. Ward earned a Bachelor of Chemical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 degree from Villanova University with honors and a Master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Administration in Finance with distinction from the Wharton School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of Pennsylvania. She has served on Villanova’s Board of Trustees since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2018. She has been a member of the National Association of Corporate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since 2016.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Director since: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2024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Age: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67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Marketing and Midstream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Capital Markets and Finance 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Sustainability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Development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Ward’s extensive experience as a senior executive in the energy industry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midstream experience in particular provide our Board with industry,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leadership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business affairs of Matador are managed under the direction of the Board in accordance with the Texas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Organizations Code, the Company’s Amended and Restated Certificate of Formation (the “Certificate of Formation”)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its Amended and Restated Bylaws (the “Bylaws”), each as amended to date. The Board has adopted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Guidelines, which are reviewed annually by the Nominating and Corporate Governance Committee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Board. The Company has a Code of Ethics and Business Conduct for Officers, Directors and Employees (“Code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Ethics”), which is applicable to all officers, directors and employees of the Company. The Company intends to post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amendments to, and may post any waivers of, its Code of Ethics on the Company’s website to the extent applicable to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or a director of the Company. The Corporate Governance Guidelines and the Code of Ethics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available on the Company’s website at www.matadorresources.com under the heading “Investor Relations—Corporate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holds regular and special meetings and spends such time on the affairs of the Company as its duties require.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Board held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eight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meetings. The Board also meets regularly in non-management executive sessions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accordance with NYSE regulations. The Corporate Governance Guidelines provide that one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 should serve as lead independent director at any time when the Chief Executive Officer serves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Chairman of the Board. The lead independent director presides over executive sessions of the non-management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and the independent members of the Board (the “Independent Board”), serves as a liaison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Chairman of the Board and the independent directors and performs such additional duties as the Board may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 and delegate. Because Mr. Foran serves as Chairman of the Board and Chief Executive Officer,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 have appointed Mr. Parker to serve as lead independent director and Mr. Baty to serve as deputy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lead independent director.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all incumbent directors of the Company attended at least 75% of the meetings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and the committees on which they served. It is our policy that each of our directors is expected to attend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meetings of shareholders, except if unusual circumstances make attendance impractical. All of our directors attended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Independence of Directors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1" name="Image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41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0" w:name="i-41"/>
      <w:bookmarkEnd w:id="4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makes all determinations with respect to director independence in accordance with the NYSE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rules and regulations promulgated by the SEC. The actual determination of whether a director is independent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made by the Board on a case-by-case basis.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its preparation for the Annual Meeting, the Board undertook its annual review of director independence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considered transactions and relationships between each director or any member of his or her immediate family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and its subsidiaries and affiliates. In making its determination, the Board applied the NYSE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SEC rules and regulations.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reviewed the independence of our directors and considered whether any director has a material relationship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us that could compromise his or her ability to exercise independent judgment in carrying out his or 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responsibilities. After this review, our Board determined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eight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current directors are “independent directors”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defined under the rules of the SEC and the NYSE: Mmes. Ehrman and Ward and Messrs. Baribault, Baty, Byerley,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Harvey, Parker and Stewart.  No member of our Board other than Ms. Appel and Mr. Foran has a family relationship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executive officer or other members of our Board.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Majority Vote in Director Elections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2" name="Image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1" w:name="i-42"/>
      <w:bookmarkEnd w:id="4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December 21, 2016, the Board amended the Bylaws to implement a majority voting standard in uncontested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elections. Pursuant to the Bylaws, in an election of directors at a meeting of shareholders at which a quorum is present,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(i) if the number of nominees exceeds the number of directors to be elected (a “contested election”), directors shall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elected by a plurality of the votes cast by the holders of shares present in person or represented by proxy and entitled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on the election of directors at such meeting and (ii) in an election of directors that is not a contested election (an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uncontested election”), such as that being held at the Annual Meeting, directors shall be elected by a majority of the 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cast by the holders of shares present in person or represented by proxy and entitled to vote on the election of directors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meeting. For purposes of the Bylaws, in an uncontested election, a “majority of the votes cast” means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of shares voted “for” a director must exceed the number of votes cast “against” that director. Prior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 of the Bylaws, directors were elected by a plurality of the votes cast, whether or not the election was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contested election.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the amendment to the Bylaws, the Board approved and adopted an amendment to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Governance Guidelines to implement a resignation policy for directors who fail to receive the required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votes in an uncontested election in accordance with the Bylaws. Pursuant to the Corporate Governance Guidelines,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amended, in an uncontested election, any nominee for director who receives a greater number of votes “against”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election than votes “for” such election (a “majority against vote”) shall promptly tender his or her resignation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certification of the shareholder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shall promptly consider the resignation offer and a range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possible responses based on the circumstances that led to the majority against vote, if known, and make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recommendation to the Board concerning whether to accept or reject such resignation. The Board shall act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and Corporate Governance Committee’s recommendation and publicly disclose its decision with respect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resignation offer within 90 days following certification of the shareholder vote. The resignation, if accepted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Board, will be effective at the time specified by the Board when it determines to accept the resignation, which effective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time may be deferred until a replacement director is identified and appointed to the 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 Leadership Structure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3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2" w:name="i-43"/>
      <w:bookmarkEnd w:id="4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Foran serves as Chairman of the Board and Chief Executive Officer of the Company. As stated in the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Guidelines, the Board does not believe that the offices of Chairman of the Board and Chief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must be separate. The members of the Board possess experience and unique knowledge of the challenges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opportunities the Company faces. They are, therefore, in the best position to evaluate the current and future needs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and to judge how the capabilities of the directors and senior managers can be most effectively organized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 those needs. Given Mr. Foran’s deep knowledge of the Company and experience in leading it, the Board currently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believes that the most effective leadership structure for the Company is to have Mr. Foran serve as Chairman of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Chief Executive Officer.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Eight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are independent under the rules of the SEC and the NYSE. After considering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recommendations of our Strategic Planning and Compensation Committee, the independent directors determine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Foran’s compensation. Further, the Company has four standing committees, a lead independent director (Mr. Parker)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deputy lead independent director (Mr. Baty). The Board believes that each of these measures counterbalances any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may exist in having Mr. Foran serve as Chairman of the Board and Chief Executive Officer. For these reasons,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 believes that this leadership structure is effective for the Company.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 lead independent director, Mr. Parker has the following roles and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chairs the executive sessions of the non-management and independent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leads the independent directors in the evaluation of the Chief Executive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facilitates communication among the independent directors;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acts as a liaison between the independent directors and the Chief Executive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Parker, as lead independent director, may also perform such other duties as the Board or the Nominating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Corporate Governance Committee from time to time may assign, which may include, but are not limited to, the following: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help develop Board agendas and ensure critical issues are included;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determine quality, quantity and timeliness of information from management;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make recommendations about retaining consultants or advisors for the Board;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interview Board candidates;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oversee Board and director evaluations;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help improve communications and processes by and between management and the Board and the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Baty, as deputy lead independent director, may also carry out the above duties in the absence of or at the direction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Mr. Parker, as lead independent director.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 Committees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4" name="Image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4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3" w:name="i-44"/>
      <w:bookmarkEnd w:id="4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standing committees of the Board are the Audit Committee, Executive Committee, Nominating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Governance Committee and Strategic Planning and Compensation Committee. The Board has also established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following advisory committees: Capital Markets and Finance Committee, Marketing and Midstream Committee,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Operations and Engineering Committee, Prospect Committee and the Sustainability and Development Committee.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standing committees is governed by a charter, and a copy of the charters of each of these committees is available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the Company’s website at www.matadorresources.com under the heading “Investor Relations—Corporate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Governance.” Director membership of all of our standing and advisory committees is identified below, as of April 13, 2026.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3"/>
        <w:gridCol w:w="541"/>
        <w:gridCol w:w="931"/>
        <w:gridCol w:w="1141"/>
        <w:gridCol w:w="1321"/>
        <w:gridCol w:w="830"/>
        <w:gridCol w:w="991"/>
        <w:gridCol w:w="1111"/>
        <w:gridCol w:w="841"/>
        <w:gridCol w:w="1285"/>
      </w:tblGrid>
      <w:tr>
        <w:trPr/>
        <w:tc>
          <w:tcPr>
            <w:tcW w:w="1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Director</w:t>
            </w:r>
          </w:p>
        </w:tc>
        <w:tc>
          <w:tcPr>
            <w:tcW w:w="5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9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Executive</w:t>
            </w:r>
          </w:p>
        </w:tc>
        <w:tc>
          <w:tcPr>
            <w:tcW w:w="11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Nominating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132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Strategic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Planning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83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and Finance</w:t>
            </w:r>
          </w:p>
        </w:tc>
        <w:tc>
          <w:tcPr>
            <w:tcW w:w="99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Midstream</w:t>
            </w:r>
          </w:p>
        </w:tc>
        <w:tc>
          <w:tcPr>
            <w:tcW w:w="111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Operations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Engineering</w:t>
            </w:r>
          </w:p>
        </w:tc>
        <w:tc>
          <w:tcPr>
            <w:tcW w:w="8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Prospect</w:t>
            </w:r>
          </w:p>
        </w:tc>
        <w:tc>
          <w:tcPr>
            <w:tcW w:w="128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Sustainability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Development</w:t>
            </w:r>
          </w:p>
        </w:tc>
      </w:tr>
      <w:tr>
        <w:trPr/>
        <w:tc>
          <w:tcPr>
            <w:tcW w:w="1213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54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14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4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285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Shelley F. Appel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Reynald A. Baribault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R. Gaines Baty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M. Byerley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Monika U. Ehrman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Paul W. Harvey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Timothy E. Parker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Kenneth L. Stewart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3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Susan M. Ward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2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</w:tbl>
    <w:tbl>
      <w:tblPr>
        <w:tblW w:w="38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"/>
        <w:gridCol w:w="1561"/>
        <w:gridCol w:w="196"/>
        <w:gridCol w:w="1861"/>
      </w:tblGrid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 Chair</w:t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 Member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Audit Committee assists the Board in monitoring: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integrity of our financial statements and disclosures;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compliance with legal and regulatory requirements;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qualifications and independence of our independent auditor;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performance of our internal audit function and our independent auditor;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internal control systems.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addition, the Audit Committee is charged with the (i) review of compliance with our Code of Ethics and (ii)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guidelines and policies to govern the process by which risk assessment and risk management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undertaken by management, including with respect to corporate governance, financial, accounting, operational,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environmental, health and safety, regulatory and cybersecurity risks.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April 13, 2026, the Audit Committee consisted of Ms.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Ward and Messrs. Baribault, Byerley, Harvey, Parker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Stewart, each of whom is independent under the rules of the SEC and the NYSE. Mr. Byerley is the chair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Committee. SEC rules require a public company to disclose whether or not its audit committee has an “audit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expert” as defined by applicable SEC rules and regulations. Our Board has determined that each of Ms. 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Messrs. Byerley, Parker and Stewart is an “audit committee financial expert.” During 2025, the Audit Committee met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Executive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has authority to discharge all the responsibilities of the Board in the management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 and affairs of the Company, except where action of the full Board is required by statute or by our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Formation or Bylaws, each as amended to date.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the Executive Committee consisted of Ms. Ehrman and Messrs. Foran, Baribault, Baty, Byerley (</w:t>
      </w:r>
      <w:r>
        <w:rPr>
          <w:rFonts w:ascii="Arial;sans-serif" w:hAnsi="Arial;sans-serif"/>
          <w:b w:val="false"/>
          <w:i/>
          <w:sz w:val="20"/>
        </w:rPr>
        <w:t xml:space="preserve">ex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z w:val="20"/>
        </w:rPr>
        <w:t>officio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Parker and Stewart. Mr. Foran is the chair of the Executive Committee.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Executive Committee did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not meet.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Nominating and Corporate Governance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Nominating and Corporate Governance Committee has the following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identifies and recommends to the Board individuals qualified to be nominated for election to the Board consistent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criteria approved by the Board; 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recommends to the Board the members and chair of each committee of the Board;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periodically reviews and assesses the Company’s Corporate Governance Guidelines and make recommendations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changes thereto to the Board;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reviews any other matters related to corporate governance of the Company, unless the authority to conduct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 has been retained by the Board or delegated to another committee;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oversees the process for evaluation of the Board and management.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Nominating and Corporate Governance Committee consisted of Ms. Ehrman and Messrs.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Baribault, Harvey, Parker and Stewart, each of whom is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independent under the rules of the SEC and the NYSE.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Stewart is the chair of the Nominating and Corporate Governance Committee. During 2025, the Nominating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Governance Committee met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has also established a Shareholder Advisory Committee for Board Nominations (the “Advisory Committee”)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is charged with receiving and considering possible nominees for election to the Board by shareholders.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Advisory Committee charter, this committee is comprised of eight to 12 persons selected by the Nominating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Governance Committee and consists of at least: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two members of the Nominating and Corporate Governance Committee;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two former members of or special advisors to the Board;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two shareholders who beneficially own Common Stock having a market value of at least $1.0 million (such value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the market value of the Common Stock immediately prior to designation of such shareholders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Advisory Committee);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two shareholders who have beneficially owned Common Stock continuously for at least the five years prior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shareholder’s designation to the Advisory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current members of the Advisory Committee are Messrs. Stewart and Parker, Craig N. Adams, James M. Howard,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Julie Forrester Rogers, Robert Garrett, David E. Lancaster, and George M. Yates.  Mr. Stewart is the chair of the Advisory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the Advisory Committee met one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Advisory Committee makes recommendations based on its conclusions to the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Committee for its consideration and review.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and the Advisory Committee consider individuals recommended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 the Company’s shareholders to serve on the Board in accordance with the advance notice provisions of the Bylaws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applicable rules and regulations of the SEC and the NYSE. In considering candidates submitted by shareholders,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Advisory Committee and the Nominating and Corporate Governance Committee take into consideration the needs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and the qualifications of the candidate. To have a candidate considered by the Advisory Committee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and Corporate Governance Committee, a shareholder must submit the recommendation in writing and must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include the following information: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 and address of the shareholder, evidence of the person’s ownership of Common Stock or derivatives,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the number of shares owned, a description of all arrangements or understandings regarding the right to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the Company, any short interest in any security of the Company, any rights to dividends that are separated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separable from the underlying shares, any proportionate interest in shares or derivatives held by a general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limited partnership whereby the shareholder is a general partner or beneficially owns an interest in the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partner, any performance-related fees (other than an asset-based fee) that the shareholder is entitled to based on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 in the value of the shares or derivatives, any other information relating to the shareholder that would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to be disclosed in connection with solicitations of proxies for the election of directors in a contested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a statement whether or not the shareholder will deliver a proxy to shareholders;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name, age and business and residence addresses of the candidate, the candidate’s résumé or a listing of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qualifications to be a director of the Company, the person’s consent to be a director if selected by the Nominating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Corporate Governance Committee, nominated by the Board and elected by the shareholders and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information that would be required to be disclosed in solicitations of proxies for the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shareholder recommendation and information described above, and in more detail in our Bylaws, must be sent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Secretary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must be received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Corporate Secretary not fewer than 45 nor more than 75 days prior to the one year anniversary date of the date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proxy statement was mailed in connection with the previous year’s 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believes that a potential director of the Company must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demonstrate that such candidate has: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relevant knowledge and a depth and diversity of background and experience at the policy-making level in business,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government or education;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 balance of the business interest and experience of the incumbent or nominated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availability and willingness to devote adequate time to Board duties;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unfilled expertise needed on the Board or one of its committees;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ability to make independent analytical, probing and other inquiries;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personal qualities of leadership, character, judgment and a reputation in the community at large of integrity, trust,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respect, competence and adherence to the highest ethical standards;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willingness to exercise independent judgment while remaining willing to listen and learn from the other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Company’s staff;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independence to ensure such candidate will not be financially dependent on director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case of an incumbent director, the Nominating and Corporate Governance Committee will also consider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director’s past performance on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or the Advisory Committee may identify potential nominees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asking, from time to time, current directors and executive officers for their recommendation of persons meeting the criteria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described above who might be available to serve on the Board. The Nominating and Corporate Governance Committee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Advisory Committee may also engage firms that specialize in identifying director candidates. As described above, the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and Corporate Governance Committee and Advisory Committee will also consider candidates recommended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 shareholders.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Once a person has been identified by the Nominating and Corporate Governance Committee or the Advisory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a potential candidate, the Nominating and Corporate Governance Committee or the Advisory Committee will make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initial determination regarding the need for additional Board members to fill vacancies or expand the size of the Board. If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or the Advisory Committee determines that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consideration is warranted, the Nominating and Corporate Governance Committee or the Advisory Committee will review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information and conduct interviews as it deems necessary to fully evaluate each director candidate. In addition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qualifications of a candidate, the Nominating and Corporate Governance Committee or the Advisory Committee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 such relevant factors as it deems appropriate, including the current composition of the Board, the evaluations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prospective nominees and the need for any required expertise on the Board or one of its committees. Although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and Corporate Governance Committee does not have a formal diversity policy, the Nominating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Committee considers a number of factors to advance a diverse mix of viewpoints, professional backgrounds,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education, specialized skills and acumen, breadth of experience in oil and natural gas exploration and production,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midstream and marketing, executive leadership, accounting, finance or law and other individual qualities and attributes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contribute to a variety of perspectives among the members of the Board. The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does not discriminate based upon race, religion, gender, national origin, age, disability, citizenship or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legally protected status. The Nominating and Corporate Governance Committee’s evaluation process will not vary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on whether or not a candidate is recommended by a shareholder.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Strategic Planning and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Strategic Planning and Compensation Committee (the “Compensation Committee”) has the following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assists the Board and the Independent Board in the discharge of their fiduciary responsibilities relating to the fair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competitive compensation of our executive officers;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provides overall guidance with respect to the establishment, maintenance and administration of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programs, including stock and benefit plans;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oversees and advises the Board and the Independent Board on the adoption of policies that govern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recommends to the Board the strategic, tactical and performance goals of the Company, including those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tactical goals that relate to performance-based compensation, including but not limited to goals for production,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reserves, cash flows and shareholder value;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conjunction with the Company’s CEO, oversees management succession planning;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produces and approves the annual Compensation Committee Report on executive compensation for inclusion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Annual Report on Form 10-K and/or annual proxy statement in accordance with applicable rules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regulations of the SEC and the NYSE.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Compensation Committee has the authority to form and delegate authority and responsibilities to subcommittees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its members, so long as any subcommittee consists of at least two members of the Compensation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April 13, 2026, the Compensation Committee consisted of Ms. Ehrman and Messrs. Baribault, Baty, Parker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Stewart, each of whom is independent under the rules of the SEC and the NYSE and a “non-employee director”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Rule 16b-3 of the Securities Exchange Act of 1934, as amended (the “Exchange Act”). Mr. Baty is the chair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Committee. During 2025, the Compensation Committee met seven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Capital Markets and Finance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Capital Markets and Finance Committee provides oversight of the Company’s financial objectives, financial policies,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structure and financing requirements.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Capital Markets and Finance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were Mses. Appel and Ward and Messrs. Foran, Harvey, Parker and Stewart. Mr. Parker is the chair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Markets and Finance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Marketing and Midstream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Marketing and Midstream Committee provides oversight of the Company’s marketing and midstream activities,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projects, joint ventures and plans. As of April 13, 2026, the members of the Marketing and Midstream Committee were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Mses.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Appel, Ehrman and Ward and Messrs. Byerley, Harvey and Parker. Ms. Ward is the chair of the Marketing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Midstream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Operations and Engineering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Operations and Engineering Committee provides oversight of the development of our prospects, our drilling,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completions and production operations and associated costs. In addition, the Operations and Engineering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provides oversight of the amount and classifications of our reserves and the design of our completion techniques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hydraulic fracturing operations and various other reservoir engineering matters.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Operations and Engineering Committee were Mses.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Ehrman and Ward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Messrs. Baribault, Baty and Foran.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Baribault is the chair of the Operations and Engineering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Prospect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Prospect Committee provides oversight of the technical analysis, evaluation and selection of our oil and natural gas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prospects.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Prospect Committee were Mses. Appel, Ehrman and Ward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Messrs. Baribault, Foran and Parker. Mr. Baribault is the chair of the Prospect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Sustainability and Development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Sustainability and Development Committee, in conjunction with the Company’s Chief Executive Officer,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oversight of sustainability, environmental and safety-related matters of the Company and the recruiting, training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development of the Company’s personnel.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Sustainability and Development Committee consisted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Mses. Appel, Ehrman and Ward and Messrs. Baty, Byerley and Parker. Mses. Appel and Ehrman serve as co-chairs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Sustainability and Development Committee.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Board’s Role in Risk Oversight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5" name="Imag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5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4" w:name="i-45"/>
      <w:bookmarkEnd w:id="4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has the responsibility to oversee the Company’s guidelines and policies to govern the process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risk assessment and risk management are undertaken by management, including with respect to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governance, financial, accounting, operational, environmental, health and safety, regulatory and cybersecurity risks.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connection with the Audit Committee’s oversight responsibility, executive management regularly engages with employees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various levels of seniority to identify risks facing the Company. The risks identified in these multidisciplinary reviews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aggregated and evaluated to determine the appropriate set of key risks for that period. Management then, on a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basis, provides the Audit Committee with an assessment of these risks and a discussion of any new developments.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Committee’s oversight, management maintains a commercial insurance program for the Company’s benefit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covering casualty, property, workers’ compensation, well operations and cybersecurity risks, among others.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has the responsibility to oversee that our incentive pay does not encourage unnecessary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taking and to review and discuss the relationship between risk management policies and practices, corporate strategy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senior executive 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Sustainability Practices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6" name="Image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5" w:name="i-46"/>
      <w:bookmarkEnd w:id="4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Affirmation of Our Commitment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Matador, we are committed to creating long-term value in a responsible manner. This commitment extends across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operations and includes a dedication to excellence with respect to environmental, safety, workforce and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matters. Our guiding focus on good stewardship is reflected in our Code of Ethics and in our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Guidelines, which are reviewed annually by the Nominating and Corporate Governance Committee of the Board. See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Governance” on page </w:t>
      </w:r>
      <w:hyperlink w:anchor="i7c299e44fe34467d92a6d3cda5b4fb80_7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24</w:t>
        </w:r>
      </w:hyperlink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Oversight and Coordination of Sustainability-Related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Matador's management team is responsible for the day-to-day management of sustainability-related matters and regularly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updates the full Board on Matador's efforts and performance in these areas.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Sustainability and Development Committee leads the Board’s oversight of (i) Matador’s sustainability practices,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with respect to the Company’s environmental, health and safety practices, and (ii) the recruiting, training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development of Matador’s personnel. In conjunction with senior management, the Sustainability and Development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has direct accountability to review and evaluate sustainability practices, risks and strategies and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recommendations to the full Board regarding sustainability and development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and Corporate Governance Committee oversees Matador’s corporate governance practices. As part of 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responsibilities, the Nominating and Corporate Governance Committee is authorized to (i) periodically review and assess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Corporate Governance Guidelines, (ii) review any other matters related to corporate governance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 and (iii) oversee the process for evaluation of the Board and management.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also has responsibility through its role overseeing risk assessment and risk management processes,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with respect to operational, environmental, health and safety and regulatory risks.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z w:val="20"/>
        </w:rPr>
        <w:t xml:space="preserve">Reporting on Sustainability-Related Practices and </w:t>
      </w: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Performance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 issues an annual Sustainability Report that describes Matador's sustainability-related policies and practices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well as documents our sustainability-related results with quantitative metrics aligned with standards developed by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Sustainability Accounting Standards Board (SASB). Highlights from the Company’s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sustainability-related practices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are shown below.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7" name="Image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7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6" w:name="i-47"/>
      <w:bookmarkEnd w:id="46"/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1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The data utilized in calculating these metrics is subject to certain reporting rules, regulatory reviews, definitions, calculation methodologies, estimates,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adjustments and other factors. As a result, these metrics are subject to change from time to time as updated data or other information becomes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available. The metrics provided reflect both Matador’s gross operated exploration &amp; production operations and gross operated midstream operations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a consolidated basis, except where otherwise noted or immaterial in scope.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2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Emissions and flared volumes are calculated in accordance with applicable Environmental Protection Agency standards and methodologies and reflect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only Matador’s gross operated exploration &amp; production operations.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3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Fresh water is defined as &lt;1,000 mg/L total dissolved solids and includes Matador’s gross operated volumes for hydraulic fracturing and completion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operations, as well as estimates for Matador’s other operations.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36"/>
        <w:gridCol w:w="3710"/>
        <w:gridCol w:w="4105"/>
      </w:tblGrid>
      <w:tr>
        <w:trPr/>
        <w:tc>
          <w:tcPr>
            <w:tcW w:w="2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51" w:type="dxa"/>
            <w:gridSpan w:val="3"/>
            <w:tcBorders>
              <w:top w:val="single" w:sz="8" w:space="0" w:color="003263"/>
              <w:left w:val="single" w:sz="8" w:space="0" w:color="003263"/>
              <w:bottom w:val="single" w:sz="8" w:space="0" w:color="003263"/>
              <w:right w:val="single" w:sz="8" w:space="0" w:color="003263"/>
            </w:tcBorders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6"/>
                <w:u w:val="none"/>
                <w:effect w:val="none"/>
              </w:rPr>
              <w:t>SUSTAINABILITY HIGHLIGHTS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EMISSIONS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4"/>
                <w:u w:val="none"/>
                <w:effect w:val="none"/>
              </w:rPr>
              <w:t>2</w:t>
            </w:r>
          </w:p>
        </w:tc>
        <w:tc>
          <w:tcPr>
            <w:tcW w:w="3710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&gt;65%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Reduction in Matador's direct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greenhouse gas intensity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from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to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4105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&gt;90%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Reduction in Matador's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methane intensity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from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to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WATER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MANAGEMENT</w:t>
            </w:r>
          </w:p>
        </w:tc>
        <w:tc>
          <w:tcPr>
            <w:tcW w:w="3710" w:type="dxa"/>
            <w:tcBorders>
              <w:top w:val="single" w:sz="8" w:space="0" w:color="003263"/>
              <w:bottom w:val="single" w:sz="8" w:space="0" w:color="003263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&gt;95%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total water consumed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was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non-fresh water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3</w:t>
            </w:r>
          </w:p>
        </w:tc>
        <w:tc>
          <w:tcPr>
            <w:tcW w:w="4105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&gt;70%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total hydraulic fracturing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fluid volume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recycled produced water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PIPELINE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TRANSPORTATION</w:t>
            </w:r>
          </w:p>
        </w:tc>
        <w:tc>
          <w:tcPr>
            <w:tcW w:w="3710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97%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operated produced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barrels transported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pipeline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4105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99%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operated produced water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barrels transported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pipeline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SAFETY &amp;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WORKFORCE</w:t>
            </w:r>
          </w:p>
        </w:tc>
        <w:tc>
          <w:tcPr>
            <w:tcW w:w="3710" w:type="dxa"/>
            <w:tcBorders>
              <w:top w:val="single" w:sz="8" w:space="0" w:color="003263"/>
              <w:bottom w:val="single" w:sz="8" w:space="0" w:color="003263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0.44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Employee lost time incidents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per 200,000 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man-hours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4105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56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Approximate average hours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continuing education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per employee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ALIGNMENT</w:t>
            </w:r>
          </w:p>
        </w:tc>
        <w:tc>
          <w:tcPr>
            <w:tcW w:w="3710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5.9%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common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held by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and executive officers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4</w:t>
            </w:r>
          </w:p>
        </w:tc>
        <w:tc>
          <w:tcPr>
            <w:tcW w:w="4105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&gt;95%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Matador employees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participating in Employee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Purchase Plan (ESPP) in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SKILLED,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ENGAGED BOARD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We continually assess whether our Board's composition appropriately relates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Matador's current and evolving strategic needs.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This extensive vetting process has yielded experienced and skilled directors who 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dedicated to Matador and do not serve on any other public company boards.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INDEPENDENT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OVERSIGHT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Eight of our ten directors are classified as independent according to SEC rules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NYSE listing standards.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lead independent director serves as a liaison between the Chairman of the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and the independent directors and fulfills other duties as set forth in our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Governance Guidelines. 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CANDID BOARD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EVALUATIONS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Board and committees conduct annual evaluations of the Board, its committees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and directors, including self-evaluations.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directors provide feedback on Board and committee effectiveness, including areas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such as Board composition.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Shareholder Engagement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8" name="Image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8" descr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7" w:name="i-48"/>
      <w:bookmarkEnd w:id="4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Matador, we seek to maintain strong, transparent relationships with our investors. In 2025, consistent with Matador's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regular practice, members of our Board and management team had conversations with investors on a variety of topics,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our business, strategy, operational innovations, Company performance, executive compensation,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and corporate governance matters. As a result of these engagement efforts, we met or reached out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shareholders representing more than an estimated 75%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outstanding shares of our Common Stock (excluding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held by our executive officers and directors) as of December 31, 2025. In addition, members of our management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team attended 16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investor conferences, hosted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roadshows and participated in various investor presentation events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calls. Seven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conferences or roadshows were attended for either the first time or first time in several years. In total, we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hosted over 125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meetings in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met with over 200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professionals.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Feedback from these conversations was shared with the full Board and served as a valuable input to our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practices. We appreciate the relationship building and insights into investors' priorities that result from cultivating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open dialogues and remain committed to engaging shareholders regularly.</w:t>
      </w:r>
    </w:p>
    <w:tbl>
      <w:tblPr>
        <w:tblW w:w="84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2731"/>
        <w:gridCol w:w="2776"/>
      </w:tblGrid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48" w:type="dxa"/>
            <w:gridSpan w:val="3"/>
            <w:tcBorders>
              <w:top w:val="single" w:sz="8" w:space="0" w:color="003263"/>
              <w:left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SHAREHOLDER ENGAGEMENT IN 2025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6"/>
                <w:u w:val="none"/>
                <w:effect w:val="none"/>
              </w:rPr>
              <w:t>(excluding shares held by our executive officers and directors)</w:t>
            </w:r>
          </w:p>
        </w:tc>
      </w:tr>
      <w:tr>
        <w:trPr/>
        <w:tc>
          <w:tcPr>
            <w:tcW w:w="2941" w:type="dxa"/>
            <w:tcBorders>
              <w:top w:val="single" w:sz="8" w:space="0" w:color="003263"/>
              <w:left w:val="single" w:sz="8" w:space="0" w:color="003263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contacted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  <w:tc>
          <w:tcPr>
            <w:tcW w:w="2731" w:type="dxa"/>
            <w:tcBorders>
              <w:top w:val="single" w:sz="8" w:space="0" w:color="003263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met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with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  <w:tc>
          <w:tcPr>
            <w:tcW w:w="2776" w:type="dxa"/>
            <w:tcBorders>
              <w:top w:val="single" w:sz="8" w:space="0" w:color="003263"/>
              <w:right w:val="single" w:sz="8" w:space="0" w:color="003263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met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with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</w:tr>
      <w:tr>
        <w:trPr/>
        <w:tc>
          <w:tcPr>
            <w:tcW w:w="2941" w:type="dxa"/>
            <w:tcBorders>
              <w:left w:val="single" w:sz="8" w:space="0" w:color="003263"/>
              <w:bottom w:val="single" w:sz="8" w:space="0" w:color="003263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&gt;75%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</w:tc>
        <w:tc>
          <w:tcPr>
            <w:tcW w:w="2731" w:type="dxa"/>
            <w:tcBorders>
              <w:bottom w:val="single" w:sz="8" w:space="0" w:color="003263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&gt;50%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</w:tc>
        <w:tc>
          <w:tcPr>
            <w:tcW w:w="2776" w:type="dxa"/>
            <w:tcBorders>
              <w:bottom w:val="single" w:sz="8" w:space="0" w:color="003263"/>
              <w:right w:val="single" w:sz="8" w:space="0" w:color="003263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&gt;70%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our top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50 shareholders</w:t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000" cy="2139950"/>
            <wp:effectExtent l="0" t="0" r="0" b="0"/>
            <wp:docPr id="49" name="Image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49" descr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8" w:name="i-49"/>
      <w:bookmarkEnd w:id="48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000" cy="2139950"/>
            <wp:effectExtent l="0" t="0" r="0" b="0"/>
            <wp:docPr id="50" name="Image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0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9" w:name="i-50"/>
      <w:bookmarkEnd w:id="49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635" cy="2138680"/>
            <wp:effectExtent l="0" t="0" r="0" b="0"/>
            <wp:docPr id="51" name="Image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51" descr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0" w:name="i-51"/>
      <w:bookmarkEnd w:id="50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Communications with Directors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2" name="Image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2" descr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1" w:name="i-52"/>
      <w:bookmarkEnd w:id="5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has established a process to receive communications from shareholders and other interested parties by mail.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and other interested parties may contact any member of the Board, any Board committee or the entire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Board. To communicate with the Board, any individual director or any committee, correspondence should be addressed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c/o Corporate Secretary”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should mark the envelope containing any such communication as “Shareholder Communication with Directors” and clearly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identify the intended recipient or recipients of the communication. The Corporate Secretary will review and forward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correspondence to the appropriate person or persons as expeditiously as reasonably practicable. However, any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 will not be forwarded if it does not fall within the scope of matters generally considered by the Board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fails to comply with the requirements of any applicable policy adopted by the Board relating to the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 of communications.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communications to the Company from one of the Company’s officers or directors will not be considered “shareholder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communications.” Communications to the Company from one of the Company’s employees or agents will only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considered “shareholder communications” if they are made solely in such employee’s or agent’s capacity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shareholder. Any shareholder proposal submitted pursuant to Rule 14a-8 promulgated under the Exchange Act will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viewed as “shareholder communications.”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Strategic Planning and Compensation Committee Interlocks and Insider Participation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3" name="Image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53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2" w:name="i-53"/>
      <w:bookmarkEnd w:id="52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Ms. Ehrman and Messrs. Baribault, Baty, Parker and Stewart served on the Compensation Committee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None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these individuals is or was previously one of our officers or employees. None of our executive officers serve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of directors or compensation committee of a company that has an executive officer that serves on our Board 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Committee. No member of our Board serves as an executive officer of a company in which 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 serves as a member of the board of directors or compensation committee of that company. There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compensation committee interlocks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Baribault’s sister-in-law was an employee of the Company during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Executive Officers and Other Senior Officers of the Company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4" name="Image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4" descr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3" w:name="i-54"/>
      <w:bookmarkEnd w:id="5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sets forth the names, ages and positions of our executive officers and certain of our other senior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officers at April 28, 2026: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0"/>
        <w:gridCol w:w="526"/>
        <w:gridCol w:w="7439"/>
      </w:tblGrid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Age</w:t>
            </w:r>
          </w:p>
        </w:tc>
        <w:tc>
          <w:tcPr>
            <w:tcW w:w="743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Positions Held With Us</w:t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Officers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Chairman of the Board and Chief Executive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Co-President—Land, Acquisitions &amp; Divestitures and Planning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Co-President, Chief Legal Officer and Head of M&amp;A, Corporate Secretary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Christopher P. Calvert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Chief Financial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W. Thomas Elsener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President—Reservoir Engineering and Senior Asset Manager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Glenn W. Stetson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Chief Operating Officer</w:t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Senior Officers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Ricky F. Alexander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President—Measurement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Jordan M. Ellington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President—Personnel and Asset Manager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Jonathan J. Filbert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President—Land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Michael D. Frenzel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Treasurer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M. Cliff Humphreys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Deputy Chief Operating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Anton L. Langland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President—Marketing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Andrew D. Parker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of Geosciences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Joshua D. Passauer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President—Drilling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President—Midstream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biographies describe the business experience of our executive officers and the senior officers listed above.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Each officer serves at the discretion of our Board. There are no family relationships among any of our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Executive Officers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2"/>
        <w:gridCol w:w="8183"/>
      </w:tblGrid>
      <w:tr>
        <w:trPr/>
        <w:tc>
          <w:tcPr>
            <w:tcW w:w="20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Joseph Wm. Foran</w:t>
            </w:r>
          </w:p>
        </w:tc>
      </w:tr>
      <w:tr>
        <w:trPr/>
        <w:tc>
          <w:tcPr>
            <w:tcW w:w="202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Chairman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Board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Executive Officer</w:t>
            </w:r>
          </w:p>
        </w:tc>
        <w:tc>
          <w:tcPr>
            <w:tcW w:w="81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Please see the biography of Mr. Foran on page </w:t>
            </w:r>
            <w:hyperlink w:anchor="i7c299e44fe34467d92a6d3cda5b4fb80_5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14</w:t>
              </w:r>
            </w:hyperlink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 this Proxy Statement.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Van H. Singleton, II</w:t>
            </w:r>
          </w:p>
        </w:tc>
      </w:tr>
      <w:tr>
        <w:trPr/>
        <w:tc>
          <w:tcPr>
            <w:tcW w:w="202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Co-President—Land,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Acquisitions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Divestitures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Planning</w:t>
            </w:r>
          </w:p>
        </w:tc>
        <w:tc>
          <w:tcPr>
            <w:tcW w:w="81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Singleton joined Matador Resources Company in August 2007 as a Landman and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Senior Staff Landman in 2009 and then to General Land Manager in 2011. In September 2013,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Singleton became Vice President of Land, and he was promoted to Executive Vice President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Land in February 2015. He became the Company’s President—Land, Acquisitions &amp; Divestitures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Planning in March 2022. Prior to joining Matador, Mr. Singleton founded and was President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VanBrannon and Associates, LLC and Southern Escrow and Title of Mississippi, LLC from 1998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2003, which provided full-spectrum land title work and title insurance in Mississippi, Louisiana,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Texas and Arkansas. From 2003 until joining Matador in 2007, he served as general manager of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family’s real estate brokerage in Houston, Texas. Mr. Singleton received a Bachelor of Arts degree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the University of Mississippi in 2000. He is an active member of the American Association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Professional Landmen, the New Mexico Landman Association, the Permian Basin Landman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Association and the Dallas Association of Petroleum Landmen.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Bryan A. Erman</w:t>
            </w:r>
          </w:p>
        </w:tc>
      </w:tr>
      <w:tr>
        <w:trPr/>
        <w:tc>
          <w:tcPr>
            <w:tcW w:w="202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Co-President,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Legal Officer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Head of M&amp;A,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Corporate Secretary</w:t>
            </w:r>
          </w:p>
        </w:tc>
        <w:tc>
          <w:tcPr>
            <w:tcW w:w="81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Erman joined Matador Resources Company in January 2016 as its Co-General Counsel.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August 2016, Mr. Erman was promoted to Vice President and Co-General Counsel. He became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Vice President and Co-General Counsel in July 2018. In March 2022, Mr. Erman became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Vice President and General Counsel and in October 2022, Mr. Erman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Vice President and General Counsel and Head of M&amp;A. In June 2025, Mr. Erman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Co-President, Chief Legal Officer and Head of M&amp;A. Prior to joining Matador,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Erman was a Partner at Carrington, Coleman, Sloman &amp; Blumenthal, L.L.P. in Dallas, having joined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firm in 2010. From 2003 to 2010, he was an associate in the Dallas and Washington, D.C. offices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Baker Botts L.L.P. Mr. Erman’s practice focused on litigation matters, including oil and natural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gas, securities and other commercial litigation, as well as corporate governance matters. Before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attending law school, Mr. Erman worked for Oklahoma Governor Frank Keating. Mr. Erman received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 Bachelor of Arts degree in Political Science in 1999 from the University of Oklahoma. He received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his law degree in 2003 from Southern Methodist University Dedman School of Law, where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graduated cum laude and was a Hatton W. Sumners Scholar, a member of the Order of the Coif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 Articles Editor on the SMU Law Review.  He is a member of the Board of Directors of the New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Mexico Oil and Gas Association.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5"/>
        <w:gridCol w:w="8180"/>
      </w:tblGrid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Christopher P. Calvert</w:t>
            </w:r>
          </w:p>
        </w:tc>
      </w:tr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Financial Officer</w:t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Calvert joined Matador Resources Company in October 2014 as a Senior Completions Engineer.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July 2018, he was named Vice President of Completions for the Company, and he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Senior Vice President—Operations in October 2019. Mr. Calvert was promoted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Co-Chief Operating Officer in April 2022. In February 2023, Mr. Calvert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Executive Vice President and Co-Chief Operating Officer. In April 2024, Mr. Calvert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Executive Vice President and Chief Operating Officer. In April 2026, Mr. Calvert became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 and Chief Financial Officer. Prior to joining Matador, Mr. Calvert worked as a Staff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Reservoir Engineer in Chesapeake Energy Corporation’s South Texas—Eagle Ford group focusing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acquisition and development ("A&amp;D") evaluations and production and completions optimization.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Chesapeake, Mr. Calvert also held roles as a Senior Asset Manager responsible for completions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operations in the Niobrara Shale, a Senior Completions Engineer responsible for Bakken/Three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Forks development and a Senior Operations Engineer focused on production and facility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optimization on the Texas Gulf Coast. Prior to Chesapeake, Mr. Calvert worked as an Operations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 for Williams Production Company. In addition to his oil and natural gas industry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experience, Mr. Calvert has worked in corporate financial controls as an internal Sarbanes-Oxley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compliance auditor. Mr. Calvert received Bachelor of Science degrees in Finance and Petroleum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 from the University of Wyoming in 2002 and 2008, respectively. He is a member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Society of Petroleum Engineers.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W. Thomas Elsener</w:t>
            </w:r>
          </w:p>
        </w:tc>
      </w:tr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President—Reservoir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Engineering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Senior Asset Manager</w:t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Mr. Elsener joined Matador Resources Company in April 2013 as an Engineer. In June 2017,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promoted to Vice President—Engineering and Asset Manager, and he was promoted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President—Reservoir Engineering and Senior Asset Manager in October 2019. Mr. Elsener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named Executive Vice President—Reservoir Engineering and Senior Asset Manager in April 2022.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Prior to joining Matador, Mr. Elsener served in various engineering roles at Encana Oil &amp; Gas (USA)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 Dallas, Texas from 2007 to 2013, including reservoir, completions, drilling, business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and new ventures. While at Encana, Mr. Elsener was involved with the exploration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development of assets in the Barnett shale, Deep Bossier, Haynesville shale and other new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domestic ventures. Mr. Elsener received a Bachelor of Science degree in Petroleum Engineering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from Texas A&amp;M University in 2007. He is a member of the Society of Petroleum Engineers.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Glenn W. Stetson</w:t>
            </w:r>
          </w:p>
        </w:tc>
      </w:tr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Operating Officer</w:t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Stetson joined Matador Resources Company in August 2014 as a Production Engineer, and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July 2015, he was promoted to Asset Manager. Mr. Stetson was promoted to the role of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Asset Manager in July 2018 and to Senior Vice President of Production and Asset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Manager in October 2019. Mr. Stetson was promoted to the role of Executive Vice 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in April 2022. In April 2026, Mr. Stetson became Executive Vice 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Operating Officer. Prior to joining Matador, Mr. Stetson worked at Chesapeake Energy Corporation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2008 to 2014, holding multiple positions in both the production and completions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departments. Most of his time at Chesapeake was spent in the Barnett shale in North Texas,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although he also spent some time working in northern Pennsylvania managing the northeast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portion of Chesapeake’s Marcellus shale operated production. Mr. Stetson graduated Cum Laude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Oklahoma State University in 2007, receiving a Bachelor of Science degree in Mechanical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Engineering Technology. Mr. Stetson is a Licensed Professional Engineer in the State of Oklahoma.</w:t>
            </w:r>
          </w:p>
        </w:tc>
      </w:tr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7"/>
        <w:gridCol w:w="8128"/>
      </w:tblGrid>
      <w:tr>
        <w:trPr/>
        <w:tc>
          <w:tcPr>
            <w:tcW w:w="2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Senior Officers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Ricky F. Alexander</w:t>
            </w:r>
          </w:p>
        </w:tc>
      </w:tr>
      <w:tr>
        <w:trPr/>
        <w:tc>
          <w:tcPr>
            <w:tcW w:w="20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Measurement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Alexander joined Matador Resources Company in 2016 as Measurement Manager.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Vice President of Measurement in 2020, Senior Vice President in 2022, and to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current role as Executive Vice President in 2025. Mr. Alexander and his staff are responsible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Matador’s oil, water, and gas measurement, SCADA/Automation, and production accounting.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Previously, Mr. Alexander worked for Unit Petroleum Company, based in Tulsa, Oklahoma,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Measurement Manager, having joined in 2006. He and his staff were responsible for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measurement and SCADA in their core areas of Oklahoma and Texas. From 2004 to 2006,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Alexander served as an Account Executive for Bristol Babcock/Emerson and, from 2003 to 2004,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of Business Development for EMS Pipeline Services. From 2000 to 2002, Mr. Alexander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served as the Manager of Technical Services for CMS Field Services. Beginning his career in the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gas industry in 1980, Mr. Alexander worked in various roles of oil and gas field operations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Transok Inc., BP, and Wright’s Well Service from 1980 until 2000. He earned a Bachelor of Science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Business Administration degree from Southern Nazarene University in 2016.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Jordan M. Ellington</w:t>
            </w:r>
          </w:p>
        </w:tc>
      </w:tr>
      <w:tr>
        <w:trPr/>
        <w:tc>
          <w:tcPr>
            <w:tcW w:w="20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President—Personnel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and Asset Manager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Ellington joined Matador Resources Company in November 2018 as a Drilling Engineer.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October 2019, Mr. Ellington was promoted to Senior Drilling Engineer and MaxOps Coordinator.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promoted to Vice President and Asset Manager in April 2021, and then to Senior Vice Present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Asset Manager in February 2023. Mr. Ellington was promoted to the role of 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Asset Manager in February 2024 and Executive Vice President – Personnel and Asset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in June 2025. Prior to joining Matador, Mr. Ellington worked for Chevron from 2014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2018 in various roles within the drilling and completions department. Most of his time at Chevron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spent focusing on operations and the execution of major capital projects and exploration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appraisal wells in the Deepwater Gulf of Mexico. Mr. Ellington graduated summa cum laude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Texas A&amp;M University in 2014, receiving a Bachelor of Science degree in Mechanical Engineering.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 is an active member of the Society of Petroleum Engineers and American Association of Drilling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Jonathan J. Filbert</w:t>
            </w:r>
          </w:p>
        </w:tc>
      </w:tr>
      <w:tr>
        <w:trPr/>
        <w:tc>
          <w:tcPr>
            <w:tcW w:w="20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President—Land</w:t>
            </w:r>
          </w:p>
        </w:tc>
        <w:tc>
          <w:tcPr>
            <w:tcW w:w="81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Filbert joined Matador Resources Company in February 2013 as a Senior Staff Landman. In April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2015, he was promoted to General Land Manager, and in December 2017, he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General Land Manager and Director of Acquisitions. Mr. Filbert was promoted to the role of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of Land in July 2018 and to Senior Vice President—Land in October 2020. Mr. Filbert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his current role of Executive Vice President—Land in October 2023. Prior to joining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Matador, Mr. Filbert worked as a landman at Chesapeake Energy Corporation from 2010 to 2013.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Most of his time at Chesapeake was spent working with the new ventures team on their Utica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Marcellus shale assets in Ohio and northern Pennsylvania. Mr. Filbert graduated from the University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Oklahoma in 2010, receiving a Bachelor of Business Administration degree in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Management and Finance. He is an active member of the American Association of Professional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Landmen, the New Mexico Landman Association, the Permian Basin Landman Association and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Dallas Association of Petroleum Landmen.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4"/>
        <w:gridCol w:w="8171"/>
      </w:tblGrid>
      <w:tr>
        <w:trPr/>
        <w:tc>
          <w:tcPr>
            <w:tcW w:w="20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Michael D. Frenzel</w:t>
            </w:r>
          </w:p>
        </w:tc>
      </w:tr>
      <w:tr>
        <w:trPr/>
        <w:tc>
          <w:tcPr>
            <w:tcW w:w="203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Treasurer</w:t>
            </w:r>
          </w:p>
        </w:tc>
        <w:tc>
          <w:tcPr>
            <w:tcW w:w="81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Frenzel was named Executive Vice President and Treasurer in April 2022. Mr. Frenzel’s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responsibilities include treasury, financial planning and forecasting, budgeting, capital markets,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hedging, financial reporting and investor relations, and he has served as an officer for San Mateo,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Matador’s midstream joint venture, since San Mateo’s formation in 2017. In March 2022, Matador’s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Board and CEO asked Mr. Frenzel to act as the Company’s principal financial officer until a new CFO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appointed in February 2023. Mr. Frenzel first worked for Matador’s predecessor company,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 Petroleum Corporation, as an intern in the summers of 2000, 2001 and 2002. From 2006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2010, Mr. Frenzel worked as a Senior Financial Analyst before leaving to obtain his Masters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Administration degree in 2010 from Duke University’s Fuqua School of Business.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Frenzel rejoined Matador in 2013 as its Senior Strategy and Financial Analyst and Assistant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Treasurer and was promoted to Finance Director and Assistant Treasurer in January 2017. In August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2018, Mr. Frenzel was promoted to Vice President and Treasurer. Mr. Frenzel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Vice President and Treasurer in October 2020. Before rejoining Matador in 2013, Mr. Frenzel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worked as an Investment Associate for Hamm Capital, LLC and as a Financial Analyst and Assistant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the CEO at Continental Resources. In addition to his energy industry experience, Mr. Frenzel also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has consulting experience with Deloitte Consulting LLP. Mr. Frenzel graduated summa cum laude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Vanderbilt University in 2004, receiving a Bachelor of Arts degree in Economics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Mathematics, and earned the designation of Fuqua Scholar while receiving a Master of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Administration degree from Duke University’s Fuqua School of Business in 2012.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M. Cliff Humphreys</w:t>
            </w:r>
          </w:p>
        </w:tc>
      </w:tr>
      <w:tr>
        <w:trPr/>
        <w:tc>
          <w:tcPr>
            <w:tcW w:w="203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Deputy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Chief 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Officer</w:t>
            </w:r>
          </w:p>
        </w:tc>
        <w:tc>
          <w:tcPr>
            <w:tcW w:w="81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Humphreys joined Matador Resources Company in March 2014 as a Completions Engineer.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December 2018, Mr. Humphreys was promoted to Area Completions Manager. He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President—Completions in October 2019, and then to Senior Vice President—Completions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April 2022. Mr. Humphreys was promoted to Executive Vice President— Completions in October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2023. In April 2026, Mr. Humphreys became Executive Vice President and Deputy Chief Operating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Officer. Prior to joining Matador, Mr. Humphreys was an Engineer for Encana Oil &amp; Gas (USA),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primarily assisting with hydraulic fracturing operations in the company’s East Texas and Louisiana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developments. In his time at Matador, Mr. Humphreys has overseen completion operations in both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Delaware Basin and Eagle Ford assets and has directed the company’s efforts in recycling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produced water for completion operations. Mr. Humphreys received a Bachelor of Science degree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Mechanical Engineering from The University of Texas at Austin in 2013. He is an active member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Society of Petroleum Engineers and American Association of Drilling Engineers, and serves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the scholarship selection committee for the Wichita Falls Area Community Foundation.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Anton L. Langland</w:t>
            </w:r>
          </w:p>
        </w:tc>
      </w:tr>
      <w:tr>
        <w:trPr/>
        <w:tc>
          <w:tcPr>
            <w:tcW w:w="203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President—Marketing</w:t>
            </w:r>
          </w:p>
        </w:tc>
        <w:tc>
          <w:tcPr>
            <w:tcW w:w="81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Langland joined Matador Resources Company in July of 2015 as its Senior Marketing Manager.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June of 2019, he was promoted to the role of Vice President of Marketing and then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of Marketing in April 2022. Mr. Langland was promoted to his current role of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 – Marketing in June of 2025. Prior to joining Matador, Mr. Langland was active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gas trading with a tenure at Koch Supply &amp; Trading and Calpine. He also worked for Regency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Gas Services where he optimized the company’s midstream assets. His background includes leading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high-performance teams, developing innovative marketing strategies, and navigating complex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market dynamics to maximize profitability in the oil and gas sector. Mr. Langland received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Bachelor of Science degree in Accounting from the University of Central Oklahoma in 1995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passed the Certified Professional Accounting Exam in Texas.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7"/>
        <w:gridCol w:w="8388"/>
      </w:tblGrid>
      <w:tr>
        <w:trPr/>
        <w:tc>
          <w:tcPr>
            <w:tcW w:w="1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Andrew D. Parker</w:t>
            </w:r>
          </w:p>
        </w:tc>
      </w:tr>
      <w:tr>
        <w:trPr/>
        <w:tc>
          <w:tcPr>
            <w:tcW w:w="18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Geosciences</w:t>
            </w:r>
          </w:p>
        </w:tc>
        <w:tc>
          <w:tcPr>
            <w:tcW w:w="838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joined Matador in November 2016 as a Senior Geologist and served as an area geology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for assets in southeast New Mexico. In October 2019, he was promoted to Vice President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Geology, and then to Senior Vice President of Geosciences in February 2023. Mr. Parker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Executive Vice President of Geosciences in February 2026. Prior to joining Matador,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worked as a Senior Geologist at Whiting Petroleum. During his tenure at Whiting,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focused on enhanced oil recovery efforts at the North Ward-Estes field in West Texas,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exploration in the southern Delaware Basin and Central Basin Platform of the Permian Basin.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Parker received a Bachelor of Science degree in Geology from the University of Texas at Arlington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2007. He is an active member of the American Association of Petroleum Geologists.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Joshua D. Passauer</w:t>
            </w:r>
          </w:p>
        </w:tc>
      </w:tr>
      <w:tr>
        <w:trPr/>
        <w:tc>
          <w:tcPr>
            <w:tcW w:w="181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President—Drilling</w:t>
            </w:r>
          </w:p>
        </w:tc>
        <w:tc>
          <w:tcPr>
            <w:tcW w:w="838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Passauer joined Matador Resources Company in January 2012 as a Drilling Engineer. In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initial role at Matador, he managed drilling rigs in the Eagle Ford and Austin Chalk plays. In 2013,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part of Matador’s transition to the Delaware basin. In January 2017, he was promoted to Area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Drilling Manager. In July 2018 he was promoted to Vice President of Drilling and then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of Drilling in April 2022. He also had the opportunity to work alongside management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creating the MAXCOM team, including overseeing the technology and layout components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MAXCOM room. Mr. Passauer was promoted to his current role of Executive Vice President—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Drilling in October 2023. Prior to joining Matador, Mr. Passauer was an Advanced Services Engineer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with Schlumberger from 2010 to 2012, working in-house with Exco Resources in their drilling group.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While at Exco, he partnered with a team to create an innovative horizontal drill bit design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optimized the most important portion of a horizontal well. This unique bit design won an innovation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 from British Gas, and he was honored to receive that award in London. He also co-authored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 associated article that was published in Oilfield Technology magazine. Prior to Schlumberger,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Passauer worked for Smith International in-house with Samson in Tulsa, Oklahoma. He began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career in the oil and gas business in Midland, TX, spending two years in a field role with Smith. This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role with Smith gave him valuable field experience as he was able to visit a wide array of drilling rigs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throughout the Delaware and Midland basins. Mr. Passauer graduated from Baylor University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2006 with a Bachelor of Science degree in Mechanical Engineering and a minor in mathematics.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 an active member of the Society of Petroleum Engineers and the American Association of Drilling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Engineers.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9"/>
        <w:gridCol w:w="8656"/>
      </w:tblGrid>
      <w:tr>
        <w:trPr/>
        <w:tc>
          <w:tcPr>
            <w:tcW w:w="15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Brian J. Willey</w:t>
            </w:r>
          </w:p>
        </w:tc>
      </w:tr>
      <w:tr>
        <w:trPr/>
        <w:tc>
          <w:tcPr>
            <w:tcW w:w="154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Midstream</w:t>
            </w:r>
          </w:p>
        </w:tc>
        <w:tc>
          <w:tcPr>
            <w:tcW w:w="86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Willey joined Matador Resources Company in February 2014 as its Deputy General Counsel.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January 2016, Mr. Willey was appointed as Co-General Counsel, and in August 2016,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Vice President and Co-General Counsel. Mr. Willey became Senior Vice 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Co-General Counsel in July 2018, and in March 2022, he was promoted to President of San Mateo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Senior Vice President, President and General Counsel of Midstream. In October 2022,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Willey was promoted to President and General Counsel of Midstream Operations and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President. In February 2023, Mr. Willey was promoted to Executive Vice 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Officer. In June 2025, Mr. Willey was promoted to Executive Vice President – Midstream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Executive Vice President, Chief Administrative Officer and Chief Legal Officer of San Mateo.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to joining Matador, Mr. Willey was an attorney with Dean Foods Company where he most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recently served as Vice President, Chief Counsel – Corporate. Before Dean Foods, Mr. Willey served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senior associate in the Dallas office of Baker Botts L.L.P. Mr. Willey’s practice focused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corporate matters, including mergers and acquisitions, public and private securities offerings,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venture capital transactions and SEC compliance matters as well as board of director and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governance matters. Mr. Willey received a Bachelor of Science degree in Accounting in 2002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Brigham Young University. He received his law degree in 2005 from The University of Texas School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Law, where he graduated with High Honors and was a member of the Order of the Coif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addition to being named a Chancellor and an Associate Editor on the Texas Law Review. Mr. Willey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also served a church mission in the Philippines from 1995 to 1997.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2</w:t>
      </w: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2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 xml:space="preserve">| ADVISORY VOTE TO APPROVE NAMED EXECUTIVE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OFFICER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accordance with the requirements of Section 14A of the Exchange Act, the Company seeks a non-binding advisory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its shareholders to approve the compensation of its Named Executive Officers (as defined below) as described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Proxy Statement.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believe the Company’s future success and ability to create long-term value for our shareholders depends on our 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attract, retain and motivate highly qualified individuals in the oil and natural gas industry. Additionally, we believe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success also depends on the continued contributions of our Named Executive Officers. The Company’s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system plays a significant role in its ability to attract, motivate and retain a high-quality workforce. As described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Discussion and Analysis (the "CD&amp;A"), the Company’s compensation program for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is designed to reward, in both the short term and the long term, performance that contributes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implementation of our business strategies, maintenance of our culture and values and achievement of our objectives.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proposal provides shareholders the opportunity to endorse or not endorse the Company’s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 through approval of the following resolution: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Resolved, that the compensation paid to the Company’s Named Executive Officers, as disclosed pursuant to Item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402 of Regulation S-K, including the Compensation Discussion and Analysis, compensation tables and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narrative discussion, is hereby approved.”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above-referenced CD&amp;A and accompanying disclosures appear on pages </w:t>
      </w:r>
      <w:hyperlink w:anchor="i7c299e44fe34467d92a6d3cda5b4fb80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-</w:t>
      </w:r>
      <w:hyperlink w:anchor="i7c299e44fe34467d92a6d3cda5b4fb80_151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66</w:t>
        </w:r>
      </w:hyperlink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this Proxy Statement.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Because this is an advisory vote, it will not be binding upon the Board. However, the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the Independent Board will take into account the outcome of the vote when considering future executive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compensation arrangements.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5" name="Image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55" descr="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4" w:name="i-55"/>
      <w:bookmarkEnd w:id="5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of the shares present in person or represented by proxy and entitled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at the Annual Meeting is required to approve this resolution on a non-binding advisory basis. If you hold your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a broker and you do not instruct the broker how to vote, your broker will not have the authority to vote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shares. Abstentions will have the effect as a vote cast against the proposal. Broker non-votes will be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purposes of determining the presence of a quorum but will have no effect upon the outcome of the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our 2024 Annual Meeting of Shareholders, our shareholders approved a non-binding, advisory proposal to hold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advisory votes to approve our executive compensation every year. In consideration of the results of this advisory vote,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has maintained its policy of providing for annual advisory votes to approve executive compensation. Unless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modifies its current policy, the next advisory vote to approve executive compensation following this vote will be held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The Board of Directors recommends that you vote FOR approval of this resolution.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6" name="Image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6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5" w:name="i-56"/>
      <w:bookmarkEnd w:id="55"/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3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 xml:space="preserve">| RATIFICATION OF THE APPOINTMENT OF KPMG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LLP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has appointed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 as the independent registered public accounting firm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for 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the Board has directed that such appointment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submitted to our shareholders for ratification at the Annual Meeting.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concluded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 provision of non-audit services, such as tax services, does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compromise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 independence.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the shareholders do not 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Audit Committee will consider whether to engage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different independent registered public accounting firm but will not be obligated to do so.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has been advised that representatives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present at the Annual Meeting and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available to respond to appropriate questions and make a statement if they desire to do so.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Fees of Independent Registered Public Accounting Firm for Fiscal Years 2025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and 2024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7" name="Image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7" descr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6" w:name="i-57"/>
      <w:bookmarkEnd w:id="56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fees for professional audit services rendered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audit of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financial statements for the years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fees for other services rendered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by KPMG during those periods:</w:t>
      </w:r>
    </w:p>
    <w:tbl>
      <w:tblPr>
        <w:tblW w:w="45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76"/>
        <w:gridCol w:w="1336"/>
        <w:gridCol w:w="1381"/>
      </w:tblGrid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3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$2,185,000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$2,750,000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Audit-related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$55,000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$55,000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Tax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$147,000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$560,000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$2,387,000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$3,365,000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Services rendered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connection with the fees presented above were as follows: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consisted of fees associated with the audit of the Company’s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statements, including the audit of the effectiveness of the Company’s internal control over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reporting, required reviews of our quarterly condensed consolidated financial statements and consultation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significant accounting matters. Audit fees also included fees paid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 San Mateo for the audit of its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Audit-Related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Audit-related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to fees for assurance and related services for subsidiary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audits that are not included in the audit fees listed above.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Tax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Tax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to permitted tax planning services.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All Other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did not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incur any other fees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pre-approves all audit and permissible non-audit services provided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These services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may include audit services, audit-related services, tax services and other services. The Audit Committee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authorized the chair of the Audit Committee to pre-approve audit and permissible non-audit services provided by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KPMG up to $750,000. Pursuant to this delegation, the decisions of the chair must be presented to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Committee at its next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Report of the Audit Committee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8" name="Image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8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7" w:name="i-58"/>
      <w:bookmarkEnd w:id="5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a standing committee comprised of independent directors as currently defined by SEC regulations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listing standards of the NYSE. The Board has determined that at least one of the members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is an “audit committee financial expert” as defined by applicable SEC rules and regulations. We operate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a written charter adopted by the Board. A copy of the charter is available free of charge on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website at www.matadorresources.com under “Investor Relations—Corporate 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annually select the Company’s independent registered public accounting firm. If the shareholders do not ratify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Annual Meeting, the Audit Committee will consider whether to engage a different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independent registered public accounting firm but will not be obligated to do so.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is responsible for the Company’s internal controls and the financial reporting process.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 is responsible for performing an independent audit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consolidated financial statements and the effectiveness of the Company's internal control over financial reporting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accordance with the standards of the United States Public Company Accounting Oversight Board (the “PCAOB”)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issuing a report thereon. As provided in our charter, our responsibilities include the monitoring and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these processes.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our charter responsibilities, we have met and held discussions with management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firm. In this context, management and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 represented to us that the Company’s consolidated financial statements for the fiscal year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were prepared in accordance with U.S. generally accepted accounting principles. We reviewed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discussed the consolidated financial statements with management and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 and discussed with the independent registered public accounting firm matters required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discussed by the applicable requirements of the PCAOB and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independent registered public accounting firm has also provided to us the written disclosures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communications required by applicable requirements of the PCAOB regarding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firm’s communications with the Audit Committee, and we discussed with the independent registered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public accounting firm that firm’s independence.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upon our reviews and discussions with management and the independent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our review of the representation of management and the report of the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 to the Audit Committee, we recommended that the Board include the audited consolidated financial statements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Company’s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filed with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Audit Committee,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William M. Byerley, Chair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Reynald A. Baribault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Paul W. Harvey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Timothy E. Parker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Kenneth L. Stewart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Susan M. Ward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9" name="Image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59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8" w:name="i-59"/>
      <w:bookmarkEnd w:id="58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of the shares present in person or represented by proxy and entitled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vote at the Annual Meeting is required for 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 for 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the shareholders do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Audit Committee will consider whether to engage a different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 but will not be obligated to do so. Abstentions will have the effect as a vote cast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against the proposal.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 xml:space="preserve">The Board of Directors recommends that you vote FOR the ratification of the appointment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of KPMG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as the Company’s independent registered public accounting firm for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year ending December 31, 2026.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0" name="Image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0" descr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9" w:name="i-60"/>
      <w:bookmarkEnd w:id="59"/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51585" cy="548640"/>
            <wp:effectExtent l="0" t="0" r="0" b="0"/>
            <wp:docPr id="61" name="Image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61" descr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0" w:name="i-61"/>
      <w:bookmarkEnd w:id="60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Dear Fellow Shareholders,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behalf of the Board of Directors and the Compensation Committee, thank you for your continued support of Matador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Resources Company and for the confidence you place in our leadership.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2025, Matador built on its operational momentum while further strengthening its financial position and increasing returns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shareholders. We delivered record production of approximately 207,000 barrels of oil equivalent per day,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over 20% growth year-over-year, and generated net income of $759.2 million and record Adjusted EBITDA (a non-GAAP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measure) of $2.3 billion. These results were driven by continued execution in the Delaware Basin,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improved well performance, with estimated ultimate recoveries increasing approximately 24% year-over-year, and ongoing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efficiency gains, including a 7% year-over-year reduction in cost per completed lateral foot.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the same time, our executive team continued the Company’s focus on capital allocation and financial flexibility.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generated free cash flow in each quarter of 2025, increased our fixed dividend by 50% during the year and repurchased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1.35 million shares. We also reduced borrowings under our revolving credit facility by approximately $200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million, ending the year with a leverage ratio of approximately 1.1x. In addition, we continued to benefit from our integrated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midstream platform, including strong performance at San Mateo, which generated $207.2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net income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$294.1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Adjusted EBITDA, and enhanced market access through strategic initiatives such as the Hugh Brinson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transportation agreement with Energy Transfer.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also strengthened the foundation for long-term growth by expanding and replenishing our high-quality inventory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Delaware Basin, resulting in a 9% year-over-year increase in our estimated total proved reserves, which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667.0 million BOE as of December 31, 2025. The increase to our reserves—approximately 98% of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organic in 2025—represents a reserve replacement ratio of 173%. In addition to our organic growth, we acquired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17,500 net acres through 690 transactions during the year, effectively replacing the locations developed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2025. Finally, our directors and executive officers remain aligned with shareholders and have collectively made over 100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 and zero sales of our stock in the past five years, based on Section 16 filings since April 1, 2021, despite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 volatility and challenges in the market and in the industry.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These achievements reflect a high level of coordination across Matador’s leadership team and a consistent focus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execution, efficiency and long-term value creation. The Board of Directors and Compensation Committee remain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committed to a “pay for performance” philosophy that directly links executive compensation to Company performance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shareholder value creation. We believe the 2025 compensation outcomes appropriately reflect both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achievements and the significant contributions of its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appreciate your continued trust and investment in Matador and look forward to building on this success in the years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ahead.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Sincerely,</w:t>
      </w:r>
    </w:p>
    <w:tbl>
      <w:tblPr>
        <w:tblW w:w="52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01"/>
        <w:gridCol w:w="109"/>
        <w:gridCol w:w="2746"/>
      </w:tblGrid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523875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1" w:name="i-62"/>
            <w:bookmarkEnd w:id="61"/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0080" cy="36703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2" w:name="i-63"/>
            <w:bookmarkEnd w:id="62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62865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3" w:name="i-64"/>
            <w:bookmarkEnd w:id="63"/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Timothy E. Parker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R. Gaines Baty</w:t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Lead Independent Director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Chair, Strategic Planning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Committee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Compensation Discussion and Analysis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5" name="Image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5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4" w:name="i-65"/>
      <w:bookmarkEnd w:id="6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Compensation Discussion and Analysis, or CD&amp;A, provides a general description of our compensation program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specific information about its various components for the following “Named Executive Officers” or "NEOs"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Joseph Wm. Foran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Chairman of the Board and Chief Executive Officer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Van H. Singleton, II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Co-President—Land, Acquisitions &amp; Divestitures and Planning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Bryan A. Erman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Co-President, Chief Legal Officer and Head of M&amp;A, Corporate Secretary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Robert T. Macalik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Former Executive Vice President and Chief Financial Officer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Brian J. Willey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Vice President—Midstream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Former Chief Financial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G. Gregg Krug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Former Executive Vice President—Marketing &amp; Midstream Strategy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William D. Lambert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Former Executive Vice President and Chief Financial Officer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February of 2023 to June of 2025, Mr. Willey served as Executive Vice President and Chief Financial Officer and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Company's principal financial officer. In June of 2025, Mr. Lambert was promoted to Executive Vice President,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Officer and Head of Strategy and assumed the role of principal financial officer and Mr. Willey was promoted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Vice President—Midstream. Mr. Lambert departed the Company in September of 2025, at which time he 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longer an executive officer of the Company. In September of 2025, Mr. Macalik was promoted to Executive Vice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President and Chief Financial Officer and assumed the role of principal financial officer from Mr. Lambert. In February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2026, Mr. Krug retired from his position with the Company and agreed to serve as a Special Advisor to the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 and Executive Committee through December 31, 2026. In April of 2026, Mr. Macalik ceased serving as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Vice President and Chief Financial Officer, at which time he was no longer an executive officer of the Company, and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Calvert was promoted to Executive Vice President and Chief Financial Officer and assumed the role of principal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 from Mr. Macalik.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Thanks to the continued dedication of our Board, executive officers and staff, Matador achieved another outstanding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. Highlights of the year included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record operational and financial results, record proved oil and natural gas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reserves, a growing Delaware Basin acreage position and a fixed dividend that increased twice in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Record Operational and Financial Results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year ended December 31, 2025, we achieved record oil, natural gas and average daily oil and natural gas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equivalent production. In 2025, we produced 43.7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20%, as compared to 36.5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Bbl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oil produced in 2024. We also produced 191.3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Bcf of natural gas,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23%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155.8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Bcf of natural gas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produced in 2024. Our average daily oil and natural gas equivalent production for the year ended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207,070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BOE per day, including 119,723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 per day and 524.1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MMcf of natural gas per day,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21%, as compared to 170,751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BOE per day, including 99,808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 per day and 425.7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MMcf of natural gas per day,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year ended December 31, 2024. The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oil and natural gas production was primarily attributable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ongoing delineation and development drilling activities in the Delaware Basin throughout 2025, which offset our declining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production in the Eagle Ford shale in South Texas that was divested in the first quarter of 2025. Oil production comprised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58%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our total oil and natural gas production (using a conversion ratio of one Bbl of oil per six thousand cubic feet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natural gas) for each of the years ended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2024. The charts below show the five-year growth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experienced by both our exploration and production business and our midstream business.</w:t>
      </w: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88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31"/>
        <w:gridCol w:w="109"/>
        <w:gridCol w:w="2671"/>
        <w:gridCol w:w="109"/>
        <w:gridCol w:w="2926"/>
      </w:tblGrid>
      <w:tr>
        <w:trPr/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 xml:space="preserve">TOTAL OIL EQUIVALENT PRODUCTION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TOTAL PROVED OIL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THIRD-PARTY MIDSTREAM SERVICES</w:t>
            </w:r>
          </w:p>
        </w:tc>
      </w:tr>
      <w:tr>
        <w:trPr/>
        <w:tc>
          <w:tcPr>
            <w:tcW w:w="3031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(MMBOE)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EQUIVALENT RESERVES (MMBOE)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26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REVENUES ($ millions)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6" name="Image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6" descr="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5" w:name="i-66"/>
      <w:bookmarkEnd w:id="65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7" name="Image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67" descr="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6" w:name="i-67"/>
      <w:bookmarkEnd w:id="66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8" name="Image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8" descr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7" w:name="i-68"/>
      <w:bookmarkEnd w:id="67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2025, we achieved several operational highlights in the Delaware Basin. These highlights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improved well performance and cost efficiencies through large-scale batch developments. For example,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second half of 2025, we turned to sales a 17-well batch development, one of the largest developments in our history,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our John Callahan unit in the Antelope Ridge asset area in Lea County, New Mexico, targeting multiple horizons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Bone Springs and Wolfcamp formations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drilling and completion costs per completed lateral foot, including increased efficiencies and capital savings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through the continued use of "simul-frac" and "trimul-frac" operations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continued drilling of longer laterals, with average completed lateral length for operated wells turned to sales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10,400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feet;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D/C/E capital expenditures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$1.53 billion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which was within our estimated range for 2025 D/C/E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expenditures of $1.47 to $1.55 billion, as provided on October 21, 2025.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we also achieved several significant and important capital resources and financial objectives,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generation of free cash flow in all four quarters of 2025;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amendment of our dividend policy two times during 2025, pursuant to which we increased the quarterly cash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dividend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 share of Common Stock in the fourth quarter of 2024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$0.375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 share of Common Stock;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receipt of $136.7 million in cash distributions from San Mateo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$13.0 million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performance incentives directly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from Five Point;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implementation in April 2025 of the Share Repurchase Program authorizing the repurchase of up to $400.0 million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Common Stock, and the purchase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1,351,328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Common Stock under the Share Repurchase Program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 at a weighted average price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$41.31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 share of Common Stock for a total cost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$55.8 million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amendment of the San Mateo Credit Facility in December 2025 to increase the lender commitments from $850.0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to $1.10 billion, and to amend the accordion feature to provide for potential increases in lender commitments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$1.35 billion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 upgrade to our long-term issuer default rating by Fitch Ratings from ‘BB-’ to ‘BB’.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69" name="Image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69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8" w:name="i-69"/>
      <w:bookmarkEnd w:id="68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Environmental and Safety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2025, we also executed in key environmental and safety-related performance areas. Among other items,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environmental and safety achievements included the following: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low rate of per-barrel emissions, including the substantial reduction in direct greenhouse gas emissions intensity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2019 levels; the significant use of non-fresh water, including recycled water; and a high percentage of oil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water transportation by pipeline.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conscientious safety record, including 0.44 employee lost time incidents per 200,000 employee man-hours in 2025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net spill rates of 0.0003%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our oil production and 0.0002%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our water production.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26,800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hours of employee continuing education, equating to approximately 56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hours per employee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2025, and management’s continued focus on risk management and cybersecurity, including quarterly reports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management to the Audit Committee.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publishing of our annual Sustainability Report, which provides Matador’s investors and other interested parties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quantitative metrics for evaluating the Company’s sustainability practices and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Compensation Program Objectives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has a “pay for performance” philosophy and recognizes the leadership of our executive officers in contributing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Company’s achievements. Our future success and ability to create long-term value for our shareholders depend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ability to attract, retain and motivate highly qualified individuals in the oil and natural gas industry. In furtherance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these goals, our executive compensation program is designed to meet the following key objectives: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fair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both the executive and the Company and be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competitive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comparable positions at companies in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peer group;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attract and retain talented and experienced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executives in light of the intense competition for talent in our industry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areas of operation, including from peers and larger industry competitors;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align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interests of our executives with the interests of our shareholders and with the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performance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 for long-term value creation;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provide financial incentives to our executives 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achieve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key corporate and individual objectives with an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appropriate mix of fixed and variable pay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foster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 shared commitment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among executives by coordinating their corporate and individual goals;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provide compensation that takes into consideration the education, professional experience, knowledge,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commitment and dedication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is specific to each job and the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unique qualities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each executive possesses.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Say-on-Pay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support for our executive compensation program remained strong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94%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approval.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took this support into account as one of many factors it considered in connection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discharge of its responsibilities in exercising its judgment in establishing and overseeing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arrangements throughout the year, but did not make any changes to our compensation program as a direct result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Compensation Program Best Practices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4777"/>
        <w:gridCol w:w="271"/>
        <w:gridCol w:w="48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Do:</w:t>
            </w:r>
          </w:p>
        </w:tc>
        <w:tc>
          <w:tcPr>
            <w:tcW w:w="27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Don't Do: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We pay for performance—approximately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76%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our CEO’s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target total compensation 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was variable and at risk,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with approximately 50% performance-based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do not permit hedging of Company stock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maintain robust stock ownership guidelines for officers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provide a gross-up for excise taxes for severance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or change in control payments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Our Compensation Committee engages an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consultant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do not guarantee bonuses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use competitive benchmarking in setting compensation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reprice stock options without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approval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conduct annual risk assessments of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practices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have no defined benefit or supplemental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retirement plans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conduct regular shareholder engagement to gather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feedback on compensation practices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allow pledging of Company stock, except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limited circumstances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hold an annual say-on-pay vote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pay dividends on unvested phantom units,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restricted stock units (“RSUs”) or performance stock units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(“PSUs”)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cap PSU payouts at target if absolute total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return is negative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pay dividends on unvested restricted stock,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which accumulate and only settle once the underlying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 have vested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z w:val="20"/>
        </w:rPr>
        <w:t xml:space="preserve">Elements of </w:t>
      </w: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Compensation Program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executive compensation program places a considerable amount of an executive’s compensation at risk in the form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or equity-based compensation, which can be variable from year to year. We also seek to provide an appropriate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balance between annual incentives and long-term incentives to ensure that each executive is motivated to consider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longer-term Company performance over short-term results.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our management compensation program was comprised of the following primary elements: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04"/>
        <w:gridCol w:w="3929"/>
        <w:gridCol w:w="3972"/>
      </w:tblGrid>
      <w:tr>
        <w:trPr/>
        <w:tc>
          <w:tcPr>
            <w:tcW w:w="2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Element</w:t>
            </w:r>
          </w:p>
        </w:tc>
        <w:tc>
          <w:tcPr>
            <w:tcW w:w="392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Key Features</w:t>
            </w:r>
          </w:p>
        </w:tc>
        <w:tc>
          <w:tcPr>
            <w:tcW w:w="3972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Why We Include This Element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Fixed level of cash compensation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Compensates each executive for assigned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responsibilities, experience, leadership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expected future contributions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Annual Cash 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Payments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Variable, annual, performance-based 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compensation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Focuses and motivates management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achieve key corporate and individual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objectives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Rewards achievements over the prior year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Approximately 50% of target total annual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 equity award value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Vests ratably in annual installments over three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years from grant date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Phantom Units settle in cash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Directly aligns executive and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interests by tying the cash received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settlement to the Company’s stock price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Retains executives over vesting period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Cash settlement of Phantom Units avoids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dilution of Common Stock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Performance Stock Units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Approximately 50% of target total annual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 equity award value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Vests between 0% and 200% of target 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following a three-year performance period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ending December 31,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based on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Company’s relative total shareholder return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ranking as compared to our peers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If absolute total shareholder return is negative,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payout is capped at target (100%)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Focuses executives on the Company’s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term performance as award is tied to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Company’s total shareholder return relative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total shareholder return of its peers over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three-year performance period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Settlement in shares of the Company’s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increases alignment between executives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shareholders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Retains executives over vesting period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Severance and Change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Control Benefits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Specified severance pay and benefits 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provided under each Named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Officer’s employment agreement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connection with termination events,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after a change in control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Provides an incentive for executives to remain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the Company despite the uncertainties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 potential or actual change in control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Provides a measure of financial security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event an executive’s employment 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terminated without cause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Benefits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Broad-based 401(k) retirement, 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stock purchase plan and health and welfare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benefits offered to all eligible employees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Provides market competitive benefits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Protects employees against catastrophic loss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encourages a healthy lifestyle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our compensation program objectives, we provide our executive officers with a significant portion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total compensation in the form of variable, rather than fixed, compensation. Importantly, a significant portion of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is also performance-based. The percentages shown below reflect each executive’s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opportunity determined by the Compensation Committee and the Independent Board and do not reflect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actual payments made to the executives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CEO Target Compensation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Average Other NEO Target Compensation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196850"/>
            <wp:effectExtent l="0" t="0" r="0" b="0"/>
            <wp:docPr id="70" name="Image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70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9" w:name="i-70"/>
      <w:bookmarkEnd w:id="69"/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1828800"/>
            <wp:effectExtent l="0" t="0" r="0" b="0"/>
            <wp:docPr id="71" name="Image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71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0" w:name="i-71"/>
      <w:bookmarkEnd w:id="70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510790" cy="1742440"/>
            <wp:effectExtent l="0" t="0" r="0" b="0"/>
            <wp:docPr id="72" name="Image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72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1" w:name="i-72"/>
      <w:bookmarkEnd w:id="71"/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~50%</w:t>
      </w:r>
      <w:r>
        <w:rPr>
          <w:caps w:val="false"/>
          <w:smallCaps w:val="false"/>
          <w:sz w:val="24"/>
          <w:shd w:fill="auto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Performance-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based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410845" cy="707390"/>
            <wp:effectExtent l="0" t="0" r="0" b="0"/>
            <wp:docPr id="73" name="Image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73" descr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2" w:name="i-73"/>
      <w:bookmarkEnd w:id="72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13995" cy="133985"/>
            <wp:effectExtent l="0" t="0" r="0" b="0"/>
            <wp:docPr id="74" name="Image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74" descr="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3" w:name="i-74"/>
      <w:bookmarkEnd w:id="73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23520" cy="136525"/>
            <wp:effectExtent l="0" t="0" r="0" b="0"/>
            <wp:docPr id="75" name="Image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75" descr="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13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4" w:name="i-75"/>
      <w:bookmarkEnd w:id="74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23520" cy="136525"/>
            <wp:effectExtent l="0" t="0" r="0" b="0"/>
            <wp:docPr id="76" name="Image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6" descr="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13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5" w:name="i-76"/>
      <w:bookmarkEnd w:id="75"/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~74%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auto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V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ariable Pay</w:t>
      </w:r>
    </w:p>
    <w:p>
      <w:pPr>
        <w:pStyle w:val="TextBody"/>
        <w:bidi w:val="0"/>
        <w:spacing w:lineRule="atLeast" w:line="142" w:before="0" w:after="0"/>
        <w:jc w:val="left"/>
        <w:rPr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  <w:shd w:fill="auto" w:val="clear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~76%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Variable Pay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196850"/>
            <wp:effectExtent l="0" t="0" r="0" b="0"/>
            <wp:docPr id="77" name="Image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77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6" w:name="i-77"/>
      <w:bookmarkEnd w:id="76"/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1828800"/>
            <wp:effectExtent l="0" t="0" r="0" b="0"/>
            <wp:docPr id="78" name="Image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8" descr="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7" w:name="i-78"/>
      <w:bookmarkEnd w:id="77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487930" cy="1774190"/>
            <wp:effectExtent l="0" t="0" r="0" b="0"/>
            <wp:docPr id="79" name="Image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79" descr="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8" w:name="i-79"/>
      <w:bookmarkEnd w:id="78"/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~50%</w:t>
      </w:r>
      <w:r>
        <w:rPr>
          <w:caps w:val="false"/>
          <w:smallCaps w:val="false"/>
          <w:sz w:val="24"/>
          <w:shd w:fill="auto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Performance-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based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419100" cy="664845"/>
            <wp:effectExtent l="0" t="0" r="0" b="0"/>
            <wp:docPr id="80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9" w:name="i-80"/>
      <w:bookmarkEnd w:id="79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11455" cy="130175"/>
            <wp:effectExtent l="0" t="0" r="0" b="0"/>
            <wp:docPr id="81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0" w:name="i-81"/>
      <w:bookmarkEnd w:id="80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11455" cy="130175"/>
            <wp:effectExtent l="0" t="0" r="0" b="0"/>
            <wp:docPr id="82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1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1" w:name="i-82"/>
      <w:bookmarkEnd w:id="81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05105" cy="127000"/>
            <wp:effectExtent l="0" t="0" r="0" b="0"/>
            <wp:docPr id="83" name="Image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83" descr="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2" w:name="i-83"/>
      <w:bookmarkEnd w:id="8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Role of the Independent Board, Compensation Committee and Management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annually evaluates each of the Company’s executive officers, including Mr. Foran,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recommends to the Independent Board the proposed compensation structure for each of the executives, including salary,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 and non-equity incentive compensation. Based on such recommendations, the Independent Board sets Mr. Foran’s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each year. Mr. Foran consults with and provides recommendations to the Compensation Committee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 regarding the compensation structure for each of the other Named Executive Officers.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recommendations of the Compensation Committee and Mr. Foran, the Independent Board sets the other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Officers’ compensation each year. The members of the Independent Board are independent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listing standards of the NYSE and the rules and regulations promulgated by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 part of its annual evaluations, the Compensation Committee: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conducts an analysis of the Company’s annual performance relative to any performance criteria or targets established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Company's annual cash incentive plan (the "Cash Incentive Plan") and recommends to the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 the amount of the annual cash incentive award payouts;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reviews and recommends the form of and number of shares or share-based units to be awarded pursuant to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 incentive awards, including vesting terms, performance metrics, performance peer groups and other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provisions of such awards;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reviews executive officer compensation levels as compared to the Company’s peers;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reviews and recommends any employment agreement, severance agreement, change in control agreement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provision or separation agreement or amendment thereof;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reviews and recommends any deferred compensation arrangement, retirement plan and other benefits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perquisites.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the Compensation Committee confirms at least annually that our compensation policies and practices do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encourage unnecessary risk taking and reviews the relationship between risk management, corporate strategy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compensation. The Compensation Committee considers, in establishing and reviewing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program, whether the program encourages unnecessary or excessive risk taking and has concluded that it does not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 reasonably likely to have a material adverse effect on us. Many features of our program reflect sound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practices. Base salaries are fixed in amount and thus do not encourage risk taking. While annual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payments are tied to management’s achievements during the applicable fiscal year, they also take into account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multiple performance criteria based on the executive’s individual performance and are within the discretion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Board, with payout limits for each participant. Thus, the Compensation Committee believes that our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incentive awards appropriately balance risk and the desire to focus executives on specific short-term goals important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Company’s success, and that they do not encourage unnecessary or excessive risk taking. In addition,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believes that our equity compensation program provides an appropriate balance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goals of increasing the price of our Common Stock and avoiding potential risks that could threaten our growth and stability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due to the fact that the phantom units and PSUs vest over three years and the PSUs vest based on our relative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 return, with an overall payout limit and a further limit if absolute total shareholder return is negative. We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maintain policies prohibiting hedging and pledging of Company securities (except in limited circumstances) and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ownership guidelines and a clawback policy, which we believe further mitigate the potential for unnecessary or excessive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risk taking.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pursuant to its charter, the Compensation Committee reviews and recommends to the Independent Board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proposals for the adoption, amendment, modification or termination of our incentive compensation, equity-based plans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non-equity based plans.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Role of the Independent Compensation Consultant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has engaged Meridian Compensation Partners, LLC ("Meridian") as its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compensation advisory firm. Meridian provides assessments of the competitiveness of the Company’s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levels and practices relative to relevant executive labor markets and performs other tasks as requested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Committee.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Compensation Committee assessed the independence of Meridian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applicable SEC and NYSE rules and concluded that Meridian’s engagement by the Compensation Committee did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raise any conflicts of interest.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Use of Peer Group Market Data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independent compensation consultant benchmarks the pay levels of our officers against a group of competitor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companies in the oil and natural gas exploration and production sector (the “Benchmarking Peer Group”). In connection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its annual review, in February of 2025, the Compensation Committee and Independent Board adopted the following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Benchmarking Peer Group in 2025, which was used in setting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levels:</w:t>
      </w:r>
    </w:p>
    <w:tbl>
      <w:tblPr>
        <w:tblW w:w="786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  <w:gridCol w:w="2536"/>
        <w:gridCol w:w="2596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APA Resources Corp.</w:t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Devon Energy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Permian Resources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Chord Energy Corporation </w:t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Expand Energy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Range Resources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Civitas Resources, Inc.</w:t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Magnolia Oil &amp; Gas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SM Energy Co.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Comstock Resources Corp.</w:t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Murphy Oil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Vital Energy, Inc.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Coterra Energy Inc.</w:t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Ovintiv Inc.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 to considering companies in the oil and natural gas exploration and production sector,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also considered company size characteristics such as assets, enterprise value and market capitalization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approving the Benchmarking Peer Group. The Benchmarking Peer Group also includes certain companies with operations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Permian Basin that face similar opportunities and challenges that we face.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Benchmarking Peer Group,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removed Marathon Oil Corporation following the announcement of its acquisition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ConocoPhillips and Diamondback Energy Inc. following its acquisition of Endeavor Energy Resources, L.P.,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significantly increased the market capitalization of the company, and added Chord Energy Corporation, Comstock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Resources Corporation, Devon Energy Corporation, Expand Energy Corporation and Range Resources Corporation.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February 13, 2025, the Benchmarking Peer Group had a median market capitalization of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8.2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billion, compared to the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market capitalization of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7.1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at such date, placing the Company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45th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percentile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Benchmarking Peer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Benchmarking Peer Group is used by the Compensation Committee and the Independent Board in setting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salaries, annual cash incentive award opportunities, long-term incentive awards and target total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levels. The Compensation Committee and Independent Board use this data to inform their pay decisions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one data point among many others, including Company performance, individual performance, experience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responsibilities, leadership and professional growth.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Base Salaries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recommended, and the Independent Board approved, effective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base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salary levels for the Named Executive Officers as set forth below.</w:t>
      </w:r>
    </w:p>
    <w:tbl>
      <w:tblPr>
        <w:tblW w:w="64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1"/>
        <w:gridCol w:w="2206"/>
        <w:gridCol w:w="2251"/>
      </w:tblGrid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Executive Officer</w:t>
            </w:r>
          </w:p>
        </w:tc>
        <w:tc>
          <w:tcPr>
            <w:tcW w:w="22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(1)</w:t>
            </w:r>
          </w:p>
        </w:tc>
        <w:tc>
          <w:tcPr>
            <w:tcW w:w="22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$1,500,000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$1,800,000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$700,000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Robert T. Macalik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D. Lambert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225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$800,000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Information is not provided for Messrs. Macalik or Lambert for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 they were not Named Executive Officers in 2024.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(2)  Mr. Lambert's base salary was effective upon his start date in May of 2025. Mr. Lambert departed the Company in September of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determined that the base salary levels for each of the Named Executive Officers were warranted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based upon each Named Executive Officer’s responsibilities and individual contributions to, among other items: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operational performance during 2024, including record oil and natural gas production;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financial performance during 2024, including generation of free cash flow in all four quarters of 2024;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Company's completion of numerous quality acreage, mineral and midstream transactions in 2024, including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 of Ameredev Stateline II, LLC and the contribution of Pronto Midstream, LLC to San Mateo;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continued innovation and improvement in operational efficiencies;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continued growth of the Company’s midstream business throughout 2024.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Annual Cash Incentive Compensation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compensation was awarded pursuant to the Cash Incentive Plan, which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designed to link executive decision making and performance with the Company’s goals, reinforce these goals and ensure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highest level of accountability for the success of the Company as a whole. The Cash Incentive Plan advances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and shareholder interests by providing an additional means to (i) sustain and enhance the culture of personal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commitment on the part of executives, select managers and key employees to the continued growth, development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success of the Company and (ii) encourage them to remain with, and devote their best efforts to, the Company.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Cash Incentive Plan provides for the grant of cash incentive compensation awards that may be paid to a participant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upon achievement with respect to specified performance goals for a particular performance period. In addition,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Cash Incentive Plan provides that the Compensation Committee and Independent Board may make adjustments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payout for individual executive officers based upon exceptional performance and attainment of certain enumerated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strategic goals (the “Strategic Objectives Adjustment”).  No specific weightings are applied to any individual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strategic goals, and the Compensation Committee uses its judgment in calculating overall payouts.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Performance Goals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chair of the Compensation Committee met with Mr. Foran and certain members of the executive management team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review and discuss potential criteria for the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Plan performance goals. Based on these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meetings, the chair of the Compensation Committee proposed certain preliminary performance goal categories for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full Compensation Committee for consideration. The Compensation Committee then met with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team to review the proposed performance goal categories. As a result of these discussions, and upon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recommendation of the Compensation Committee, the Independent Board determined to use the following threshold,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target and maximum performance goals for 2025, which were each achieved at or above the target level, as shown below.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design of the 2025 annual Cash Incentive Plan was consistent with the design of the 2024 program, except that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shareholder return performance relative to the peer group was removed, primarily given the overlap of this metric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Company's performance stock units. Performance goals may be impacted by a variety of factors considered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Committee, such as the specific costs anticipated in the areas in which we plan to operate in a given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macroeconomic factors, including commodity prices and inflation.  As a result, performance targets may not increase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every year.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08"/>
        <w:gridCol w:w="1186"/>
        <w:gridCol w:w="826"/>
        <w:gridCol w:w="1171"/>
        <w:gridCol w:w="916"/>
        <w:gridCol w:w="1848"/>
        <w:gridCol w:w="350"/>
      </w:tblGrid>
      <w:tr>
        <w:trPr/>
        <w:tc>
          <w:tcPr>
            <w:tcW w:w="39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Performance Goals</w:t>
            </w:r>
          </w:p>
        </w:tc>
        <w:tc>
          <w:tcPr>
            <w:tcW w:w="118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Threshold</w:t>
            </w:r>
          </w:p>
        </w:tc>
        <w:tc>
          <w:tcPr>
            <w:tcW w:w="8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117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91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Actual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Results</w:t>
            </w:r>
          </w:p>
        </w:tc>
        <w:tc>
          <w:tcPr>
            <w:tcW w:w="184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Assessment</w:t>
            </w:r>
          </w:p>
        </w:tc>
        <w:tc>
          <w:tcPr>
            <w:tcW w:w="35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Net Debt/Adjusted EBITDA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(1)(2)(3)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1.25x</w:t>
            </w:r>
          </w:p>
        </w:tc>
        <w:tc>
          <w:tcPr>
            <w:tcW w:w="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1.15x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1.10x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1.13x</w:t>
            </w:r>
          </w:p>
        </w:tc>
        <w:tc>
          <w:tcPr>
            <w:tcW w:w="18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Exceeded Target</w:t>
            </w:r>
          </w:p>
        </w:tc>
        <w:tc>
          <w:tcPr>
            <w:tcW w:w="3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Adjusted operating costs per BOE, excluding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interest ($/BOE)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(4)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$13.60</w:t>
            </w:r>
          </w:p>
        </w:tc>
        <w:tc>
          <w:tcPr>
            <w:tcW w:w="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$13.00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$12.40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$11.74</w:t>
            </w:r>
          </w:p>
        </w:tc>
        <w:tc>
          <w:tcPr>
            <w:tcW w:w="184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Exceeded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3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Return on Average Capital Employed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(ROACE)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(5)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19%</w:t>
            </w:r>
          </w:p>
        </w:tc>
        <w:tc>
          <w:tcPr>
            <w:tcW w:w="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22%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25%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24%</w:t>
            </w:r>
          </w:p>
        </w:tc>
        <w:tc>
          <w:tcPr>
            <w:tcW w:w="18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Exceeded Target</w:t>
            </w:r>
          </w:p>
        </w:tc>
        <w:tc>
          <w:tcPr>
            <w:tcW w:w="3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0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Environmental and Safety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(6)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84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—</w:t>
            </w:r>
          </w:p>
        </w:tc>
        <w:tc>
          <w:tcPr>
            <w:tcW w:w="3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(7)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(1)Adjusted EBITDA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EBITDA and a reconciliation of Adjusted EBITDA 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Matador’s net income (loss) and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 a reference point under the Cash Incentive Plan, Net Debt as of 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is calculated as (i)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$2.15 billion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 senior notes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outstanding, plus (ii)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$451.8 million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 debt under the Credit Facility, including outstanding borrowings and letters of credit, less (iii)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$15.3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million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 available cash.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Attributable to the Company's shareholders after giving effect to those values attributable to third-party non-controlling interests, including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 San Mateo.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Cash operating costs per BOE, excluding interest and midstream operating costs, is a non-GAAP financial measure included herein solely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as a reference point and is commonly used by similar companies in our industry. The Compensation Committee and the Independent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Board believe cash operating costs per BOE, excluding interest and midstream operating costs, is an appropriate performance metric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because it allows them to compare and to evaluate the efficiency of the Company's operations and their impact on the Company's unit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cash flows and compare its cash operating costs to prior periods and to its peers' results without regard to financing methods or capital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structure. Cash operating costs per BOE, excluding interest and midstream operating costs, can be calculated from the Company’s audited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financial statements included in the Annual Report on Form 10-K for the applicable year by adding the following expenses per BOE: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production taxes, transportation and processing; lease operating; and general and administrative.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ROACE is equal to Adjusted EBITDA attributable to the Company's shareholders plus or minus (x) a discretionary adjustment for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estimated change in the value of the Company's Delaware Basin acreage plus (y) cash inflows from (i) asset sales and other transactions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(ii) strategic midstream transactions divided by total capitalization.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Based on a quantitative and qualitative assessment of the Company's overall safety and environmental record, including with respect 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health, environmental and safety matters, for the year, including a review of the Company's performance in the areas of environmental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stewardship (including items such as methane emissions and percentage of water and oil on pipe), safety processes and procedures,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training of personnel, risk management and cybersecurity.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See "Environmental and Safety Results" below.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 to setting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goals outlined above, the Compensation Committee identified certain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and strategic achievements to be considered by the Compensation Committee and the Independent Board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connection with the assessment of the performance of the Named Executive Officers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Strategic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Objectives Adjustment component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 These additional factors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Adjusted Free Cash Flow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(1)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$437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million;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of oil production growth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reserves growth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MMBOE;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drilling and completions cost per completed lateral foot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$842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lease operating expenses per BOE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$5.61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San Mateo Adjusted EBITDA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(2)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$294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million;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completion of numerous quality acreage, mineral and midstream transactions, including over 690 separate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transactions for approximately 17,500 net acres in acquisitions, resulting in the addition of 100 net locations in 2025,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along with 23 upside locations, essentially replacing the locations drilled by Matador in 2025. The total consideration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paid for these acquisitions was approximately $245 million, or $14,000 per net acre, after accounting for production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acquired with the transactions and excluding capitalized general and administrative expenses. The Company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secured firm transportation on Energy Transfer’s Hugh Brinson Pipeline to move 500,000 MMBtu per day of natural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gas production out of the Permian Basin to points of sale where demand and pricing have historically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significantly higher than at the Waha Hub.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(1)Adjusted Free Cash Flow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Free Cash Flow and a reconciliation of Adjusted Free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Cash Flow to Matador’s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Adjusted EBITDA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EBITDA and a reconciliation of Adjusted EBITDA to San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Mateo’s net income and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/>
          <w:sz w:val="20"/>
        </w:rPr>
        <w:t>Incentive Opportunities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making recommendations regarding potential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opportunities for our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Officers, the Compensation Committee reviewed Meridian’s recommendations and the recommendations of Mr. Foran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regarding proposed target opportunities. Based on such review, which considered market pay levels and internal equity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considerations, such target opportunities, as a percentage of base salary, remained unchanged from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opportunities. Mr. Lambert ultimately did not receive an annual cash award for 2025 due to his departure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in September 2025. </w:t>
      </w:r>
    </w:p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1"/>
        <w:gridCol w:w="1651"/>
      </w:tblGrid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Participant</w:t>
            </w:r>
          </w:p>
        </w:tc>
        <w:tc>
          <w:tcPr>
            <w:tcW w:w="16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Annual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Opportunity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as % of 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Robert T. Macalik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D. Lambert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maximum award opportunity for Mr. Foran was capped at 200% and for each of the other Named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capped at 175%, in each case, prior to application of the Strategic Objectives Adjustment. Our Independent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also determined to cap the Strategic Objectives Adjustment for each of the Named Executive Officers at 30% of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Officer’s otherwise calculated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cash incentive payment.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/>
          <w:sz w:val="20"/>
        </w:rPr>
        <w:t>Performance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early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Compensation Committee assessed the Company’s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results in light of the performance goals,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financial and strategic achievements and the following individual performance milestones for each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Officer when determining annual cash incentive award payouts: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58"/>
        <w:gridCol w:w="7847"/>
      </w:tblGrid>
      <w:tr>
        <w:trPr/>
        <w:tc>
          <w:tcPr>
            <w:tcW w:w="23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784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Individual Performance Milestones</w:t>
            </w:r>
          </w:p>
        </w:tc>
      </w:tr>
      <w:tr>
        <w:trPr/>
        <w:tc>
          <w:tcPr>
            <w:tcW w:w="235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Joseph Wm. Foran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Chairman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Executive Officer</w:t>
            </w:r>
          </w:p>
        </w:tc>
        <w:tc>
          <w:tcPr>
            <w:tcW w:w="784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Provided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direction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leadership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throughout Matador in developing and executing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Matador’s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strategy and operational plan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which resulted in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record operational and financial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results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Provided leadership to the Board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on various matters, including with respect to returning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value to shareholders through our fixed dividend, which increased twice in 2025, and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implementation of the Share Repurchase Program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Led a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company-wide emphasis on talent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strengthening recruitment, development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retention efforts, highlighted by 100% intern offer acceptance and continued investment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leadership growth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Fostered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strong, constructive relationships with directors, shareholders, vendors and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stakeholders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while reinforcing alignment on strategy and priorities through consistent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effective communication across the organization and to the public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0"/>
        <w:gridCol w:w="7655"/>
      </w:tblGrid>
      <w:tr>
        <w:trPr/>
        <w:tc>
          <w:tcPr>
            <w:tcW w:w="25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Van H. Singleton, II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Co-President - Land,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Acquisitions and Divestitures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and Planning</w:t>
            </w:r>
          </w:p>
        </w:tc>
        <w:tc>
          <w:tcPr>
            <w:tcW w:w="765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Mr. Foran and Mr. Erman, led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development and implementation of Matador's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strategy and operational plan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Oversaw the Company’s land, land administration and A&amp;D activities, including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690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transactions totaling 17,500 net acres at favorable pricing, essentially replacing locations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drilled in 2025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Led coordination of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business development initiatives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identifying and advancing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opportunities to support the Company’s growth objectives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Chairman of Greyhound Resources, LLC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("Greyhound"), the Company's joint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venture with Spearpoint Resources Company ("Spearpoint"), providing oversight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strategic guidance for the joint venture</w:t>
            </w:r>
          </w:p>
        </w:tc>
      </w:tr>
      <w:tr>
        <w:trPr/>
        <w:tc>
          <w:tcPr>
            <w:tcW w:w="25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Bryan A. Erman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Co-President, Chief Legal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Officer and Head of M&amp;A,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Corporate Secretary</w:t>
            </w:r>
          </w:p>
        </w:tc>
        <w:tc>
          <w:tcPr>
            <w:tcW w:w="765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Mr. Foran and Mr. Singleton, led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development and implementation of Matador's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strategy and operational plan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Led the Company’s legal function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overseeing internal counsel and managing a broad range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 legal matters across the organization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Head of M&amp;A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shared responsibility with Mr. Singleton for A&amp;D activities, including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690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transactions totaling 17,500 net acres at favorable pricing, essentially replacing locations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drilled in 2025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Directed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enterprise risk management efforts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including oversight of the Company’s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Environmental, Health and Safety function and insurance programs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Corporate Secretary and a primary Board contact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supporting governance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processes and Board engagement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on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Board of Directors of Greyhound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contributing to the strategic oversight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joint venture</w:t>
            </w:r>
          </w:p>
        </w:tc>
      </w:tr>
      <w:tr>
        <w:trPr/>
        <w:tc>
          <w:tcPr>
            <w:tcW w:w="25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Robert T. Macalik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Former 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Financial Officer</w:t>
            </w:r>
          </w:p>
        </w:tc>
        <w:tc>
          <w:tcPr>
            <w:tcW w:w="765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Participated in managing ways to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strengthen the Company's balance sheet and financial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position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through: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◦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Engaging with all 19 banks in the lending group to help secure unanimous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reaffirmation of the $2.25 billion elected commitment and $3.25 billion borrowing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base under the Credit Facility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>◦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Participating in the amendment of the San Mateo Credit Facility, which increased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lender commitments from $850.0 million to $1.10 billion and expanded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syndicate with one additional bank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Coordinated and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oversaw the general financial matters of the Company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through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management of the Company’s finance staff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investor conferences and non-deal roadshows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40"/>
        <w:gridCol w:w="7865"/>
      </w:tblGrid>
      <w:tr>
        <w:trPr/>
        <w:tc>
          <w:tcPr>
            <w:tcW w:w="23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Brian J. Willey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Executive Vice President 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Midstream</w:t>
            </w:r>
          </w:p>
        </w:tc>
        <w:tc>
          <w:tcPr>
            <w:tcW w:w="786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Chairman of the Board of San Mateo and Executive Vice President,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Administrative Officer and Chief Legal Officer of San Mateo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Oversaw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San Mateo's midstream activities and strong financial results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including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$207.2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million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net income and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$294.1 million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Adjusted EBITDA in 2025, as compared to $175.6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million of net income and $253.2 million of Adjusted EBITDA in 2024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Increased San Mateo’s third-party revenues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by 29% from $167 million in 2024 to $216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million in 2025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Oversaw the completion of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Marlan Plant expansion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which increased San Mateo’s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processing capacity from 520 MMcf per day to 720 MMcf per day, an increase of 38%,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commissioned San Mateo’s first nitrogen rejection unit (“NRU”), which is one of the first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NRUs in Lea County, New Mexico</w:t>
            </w:r>
          </w:p>
        </w:tc>
      </w:tr>
      <w:tr>
        <w:trPr/>
        <w:tc>
          <w:tcPr>
            <w:tcW w:w="23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G. Gregg Krug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Former 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President - Marketing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Midstream Strategy</w:t>
            </w:r>
          </w:p>
        </w:tc>
        <w:tc>
          <w:tcPr>
            <w:tcW w:w="786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Oversaw the Company’s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Marketing and Midstream operations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Overall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the Company's oil and natural gas marketing activities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negotiation of the Hugh Brinson transportation agreement for 500,000 MMBtu per 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exposure to Henry Hub pricing and liquified natural gas markets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on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Board of Directors of San Mateo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contributing to governance and strategic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oversight of the midstream platform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Shared primary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the Company's Marketing and Midstream strategy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Mr. Foran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Environmental and Safety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evaluating the Environmental and Safety performance metric, the Compensation Committee performed a qualitative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assessment of the Company’s Environmental and Safety records for the year. Among other items,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and Independent Board noted (i) the publication of the Company's annual sustainability report concurrently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the announcement of the Company's financial results for the second quarter of 2025, the earliest ever publication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Company's annual sustainability report, (ii) reduced flaring from 0.56% of total natural gas produced in 2024 to 0.49%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2025, (iii) the use of 96% non-fresh water in completions operations, consistent with 2024, and the use of 72% recycled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produced water, up from 52% in 2024, (iv) the transportation of 99.4% of all operated water on pipe, consistent with 2024,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96.8% of all operated oil on pipe, up from 96.1% in 2024, (v) the reduction of oil lost through spills by 33%, from 294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Bbls in 2024, down to 198 Bbls in 2025, and the reduction of water lost through spills by 87%, from 5,294 Bbls in 2024,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down to 699 Bbls in 2025, (vi) the 18.8% increase in the total training hours completed by Matador personnel, from 22,543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hours in 2024 (or 50 hours per employee) to 26,785 hours in 2025 (or 56 hours per employee), and the 17.9% increase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total safety training hours completed by Matador personnel, from 5,348 hours in 2024 to 6,304 hours in 2025, and (vii)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total reportable incident rate for Matador employees of 0.89, well under the industry average of 1.3.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Strategic Objectives Adjustment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assessing performance under the Strategic Objectives Adjustment, the Compensation Committee reviewed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individual performance milestones listed above as well as additional individual contributions to the achievement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Company-wide performance goals and certain financial and strategic achievements. Based on this review,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determined that each of the Named Executive Officers performed at a high level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contributing to the Company’s success. Based on such assessment, the Compensation Committee recommended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 the annual cash incentive awards listed below for each Named Executive Officer under the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Plan, including Strategic Objectives Adjustments equal to 15% for each of Messrs. Foran, Singleton, Erman,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Macalik and Krug and 10% for Mr. Willey.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Independent Board approved such annual cash awards, which were paid to the Named Executive Officers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February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Mr. Lambert ultimately did not receive an annual cash award for 2025 due to his departure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 in September 2025.</w:t>
      </w:r>
    </w:p>
    <w:tbl>
      <w:tblPr>
        <w:tblW w:w="85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21"/>
        <w:gridCol w:w="1981"/>
        <w:gridCol w:w="2011"/>
        <w:gridCol w:w="1756"/>
      </w:tblGrid>
      <w:tr>
        <w:trPr/>
        <w:tc>
          <w:tcPr>
            <w:tcW w:w="2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2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19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Payable for 2025</w:t>
            </w:r>
          </w:p>
        </w:tc>
        <w:tc>
          <w:tcPr>
            <w:tcW w:w="20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Maximum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Payable for 2025</w:t>
            </w:r>
          </w:p>
        </w:tc>
        <w:tc>
          <w:tcPr>
            <w:tcW w:w="175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Actual Award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for 2025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$4,680,000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$3,726,000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$2,047,500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$1,630,125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$2,047,500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$1,630,125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Robert T. Macalik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$1,539,563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$2,047,500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$1,559,250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$900,000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$2,047,500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$1,630,125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D. Lambert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$1,820,000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2025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Long-Term Incentive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February 2025, the Independent Board granted awards to the Named Executive Officers comprised of approximately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50% service-based cash-settled phantom units and approximately 50% share-settled PSUs.  These long-term equity-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awards facilitate retention of our Named Executive Officers, incentivize producing positive future results and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align the interests of our Named Executive Officers with those of the Company’s shareholders. The table below provides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key terms of the February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equity-based awards for our Named Executive Officers: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8"/>
        <w:gridCol w:w="2534"/>
        <w:gridCol w:w="5423"/>
      </w:tblGrid>
      <w:tr>
        <w:trPr/>
        <w:tc>
          <w:tcPr>
            <w:tcW w:w="22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Key Terms</w:t>
            </w:r>
          </w:p>
        </w:tc>
        <w:tc>
          <w:tcPr>
            <w:tcW w:w="253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542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Performance Stock Units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Targeted percentage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of total award value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Approximately 50%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Approximately 50%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Vesting terms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Three years ratably on each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anniversary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Following three-year performance period ending December 31,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2027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Performance metric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Relative total shareholder return, with payout capped at target if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absolute total shareholder return is negative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number of shares underlying each grant (assuming the target number of PSUs) and the target value of the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equity grants are set forth in the table below:</w:t>
      </w:r>
    </w:p>
    <w:tbl>
      <w:tblPr>
        <w:tblW w:w="79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21"/>
        <w:gridCol w:w="1741"/>
        <w:gridCol w:w="1606"/>
        <w:gridCol w:w="1831"/>
      </w:tblGrid>
      <w:tr>
        <w:trPr/>
        <w:tc>
          <w:tcPr>
            <w:tcW w:w="2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2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174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16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Stock Units</w:t>
            </w:r>
          </w:p>
        </w:tc>
        <w:tc>
          <w:tcPr>
            <w:tcW w:w="18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Targeted Value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$4,480,800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$2,240,400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$2,016,360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Robert T. Macalik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$2,016,360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$2,016,360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$2,240,400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D. Lambert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10,000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$821,800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(1)Represents restricted stock awards.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approved the total targeted value for the year for each Named Executive Officer and then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converted that value into an approximate aggregate number of units based on the closing price of our Common Stock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date prior to the date of grant. The units were then granted approximately 50% in the form of phantom units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50% in the form of PSUs (at target). The PSUs may settle between 0% and 200% of the total target PSUs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subject to the award based on our total shareholder return relative to the total shareholder return of companies in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designated peer group over a three-year performance period from January 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through December 31, 2027. If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absolute total shareholder return over such performance period is negative, no more than 100% of the target PSUs may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vest. The applicable percentage of vested units is shown below with respect to each percentile ranking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results are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interpolated for results between the various rankings shown below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</w:t>
      </w:r>
    </w:p>
    <w:tbl>
      <w:tblPr>
        <w:tblW w:w="7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96"/>
        <w:gridCol w:w="3226"/>
      </w:tblGrid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Company’s Relative Total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Return Percentile Ranking</w:t>
            </w:r>
          </w:p>
        </w:tc>
        <w:tc>
          <w:tcPr>
            <w:tcW w:w="32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Percentage of Target PSUs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That Will Vest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100th</w:t>
            </w:r>
          </w:p>
        </w:tc>
        <w:tc>
          <w:tcPr>
            <w:tcW w:w="32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200%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and Independent Board approved the following group of peer companies for purposes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assessing the Company’s relative total shareholder return under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PSU grants: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            </w:t>
      </w:r>
    </w:p>
    <w:tbl>
      <w:tblPr>
        <w:tblW w:w="53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  <w:gridCol w:w="2596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APA Resources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Magnolia Oil &amp; Gas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Civitas Resources, Inc.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Murphy Oil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Comstock Resources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Ovintiv Inc.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Coterra Energy Inc.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Permian Resources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Devon Energy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SM Energy Co.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Expand Energy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Vital Energy, Inc.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Vesting of 2023</w:t>
      </w:r>
      <w:r>
        <w:rPr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Performance Stock Units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PSU awards granted to the Named Executive Officers in February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vested based on the percentile level at 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total shareholder return to the Company’s shareholders over the three-year period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stood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relation to the total shareholder return realized over that period by each member of a group of peer companies established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time of the grant of the awards. In accordance with the terms of the award agreements governing the awards,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Callon Petroleum Co., PDC Energy, Inc. and Marathon Oil Corp. had been acquired during the period and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removed from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peer group and excluded from the relative total shareholder return calculation for the vesting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PSUs. Based on our performance after such adjustments, the Company’s total shareholder return percentile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ranking was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29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 percentile and the PSUs vested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58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% of target.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offer a variety of health and welfare programs to eligible employees, including the Named Executive Officers.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health and welfare programs are intended to protect employees against catastrophic loss and encourage a healthy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lifestyle. Our health and welfare programs include medical, pharmacy, dental, disability and life insurance. We also offer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401(k) plan for eligible employees, including the Named Executive Officers, to which we contribute an amount equal to 3%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employee’s eligible compensation, which is subject to limits established by the U.S. Internal Revenue Code of 1986,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amended (the “Code”), and have the discretion to contribute an amount equal to up to an additional 4%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employee’s eligible compensation as a dollar-for-dollar matching contribution with respect to his or her elective deferral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contributions. The discretionary dollar-for-dollar match is subject to vesting based upon years of service to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limits on the compensation that may be considered under the Code. In addition, we provide long-term care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insurance for certain of our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Severance and Separation Arrangements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entered into employment agreements with each of our Named Executive Officers. Under the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agreements, if a termination of employment occurs pursuant to one of the following events: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dies;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is totally disabled;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mutually agree to end the employment agreement;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dissolve and liquidate;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term of the employment agreement ends,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pay the Named Executive Officer the average of his annual cash bonus, which includes non-equity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compensation, for the prior two years, pro-rated based on the number of complete or partial months completed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year of termination.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Also, under the employment agreements, if one of the following occurs: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Named Executive Officer’s employment is terminated other than (i) as set forth above, (ii) by us for "just cause"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(iii) in connection with a “change in control” as described below;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terminates his employment for “good reason,”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then, (i) for Mr. Foran, we will pay him twice his base salary and twice the average of his annual cash bonus for the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two years; and (ii) for each of Messrs. Singleton, Erman and Willey (and Mr. Krug prior to his retirement and each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Messrs. Lambert and Macalik prior to their respective departures), we will pay him 1.5 times his base salary and 1.5 times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average of his annual cash bonus for the prior two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Finally, under the employment agreement of Mr. Foran, which was entered into in 2011, if we terminate Mr. Foran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30 days prior to the “change in control” or within 12 months after the “change in control” without “just cause” or Mr. Foran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terminates his employment with or without “good reason” during such period, we will pay him three times his base salary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three times the average of his annual cash bonus for the prior two years. This agreement was entered into prior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initial public offering. At that time, we believed a “modified single trigger” was appropriate given the Company’s size, early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stage of development and strong growth aspirations. Since that time, however, we have ceased to use “modified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triggers” in executive employment agreements, and we intend to exclusively use “double triggers” going forward, as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since 2014. The agreements entered into with each of the other Named Executive Officers include a “double trigger”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that if we terminate such executive within 30 days prior to the “change in control” or within 12 months after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 in control” without “just cause” or he terminates his employment with “good reason,” we will pay him three times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his base salary and three times the average of his annual cash bonus for the prior two years. In addition, if any of our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Officers are terminated or terminate their employment as set forth above in connection with a “change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control,” all equity awards held by such Named Executive Officer vest immediately prior to such termination.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definitions of “change in control,” “good reason” and “just cause,” please see the employment agreement of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Officer, each of which is included as an exhibit to the Company’s most recent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Advisor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/>
          <w:sz w:val="20"/>
        </w:rPr>
        <w:t>Agreement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his retirement and transition to Special Advisor, Mr. Krug entered into an Advisor Agreement 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Advisor Agreement”) with a subsidiary of the Company, which agreement was effective simultaneously with Mr. Krug’s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retirement on February 28, 2026 and will expire on December 31, 2026, subject to month-to-month extensions thereafter.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Krug will report to the Chief Executive Officer and the Executive Committee of the Board and will provide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services as outlined in the Advisor Agreement. The Advisor Agreement provides for a monthly fee of $1,000.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Equity Plans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equity grants under the Matador Resources Company 2019 Long-Term Incentive Plan (as amended, the “2019 Plan”),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than the PSUs, vesting upon a “change in control” for the Named Executive Officers mirrors the terms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employment agreements. The PSUs vest upon a “change in control” based on performance achieved through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change in control, as it is anticipated that a change in control would make achievement of relative total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performance impractical to measure.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“change in control” provisions in the employment agreements and the equity grants under the 2019 Plan help prevent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management from being distracted by rumored or actual changes in control. The “change in control” provisions provide: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incentives for those Named Executive Officers to remain with us despite the uncertainties of a potential or actual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change in control;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assurance of severance payments for terminated Named Executive Officers;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access to equity compensation after a change in control.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Stock Ownership Guidelines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adopted stock ownership guidelines for the following officers in the following designated amounts: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Chairman and Chief Executive Officer—shares equal to five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President—shares equal to five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Vice Presidents—shares equal to two and 1/2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Senior Vice Presidents—shares equal to two times base salary;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Vice Presidents and Executive Directors—shares equal to one and 1/2 times base salary.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Newly appointed officers have until the fifth anniversary of their appointment as an officer of the Company within which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achieve the stock ownership position. Shares that count toward the stock ownership guidelines include time-based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restricted stock. Shares that will not count toward the stock ownership guidelines include shares underlying unexercised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options, unexercised stock appreciation rights, phantom units and performance-based awards for which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performance requirements have not been satisfied.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Until each of the above officers reaches the stock ownership level required of his or her position, such officer must hold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least 50% of all “net shares” received through restricted stock, PSU or RSU vesting or realized through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exercises. For this purpose, “net shares” means all shares retained after applicable withholding of any shares for 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purposes. Additionally, upon the vesting of restricted stock, PSUs or RSUs or the exercise of stock options, each officer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must hold the net shares for a minimum of 12 months following such vesting or exercise, or until his earlier retirement.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each then-serving Named Executive Officer owned shares in excess of the applicable minimum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requirement set forth in the stock ownership guidelines, and Mr. Foran held shares with a value equal to approximately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times his base salary then in effect.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Insider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Trading Policy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adopted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 insider trading policy (the “Insider Trading Policy”) governing purchases, sales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transactions in the Company’s securities by its insiders, including its directors, officers, employees and in-house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contractors.  The Company believes the Insider Trading Policy is reasonably designed to promote compliance with insider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trading laws, rules and regulations, as well as applicable NYSE listing standards. A copy of the Insider Trading Policy has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been filed as an exhibit to the Company’s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Anti-Hedging and Anti-Pledging Policies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Company’s Insider Trading Policy, the Company prohibits hedging of its securities by directors, officers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employees. Specifically, no such person shall purchase or sell, or make any offer to purchase or offer to sell, derivative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relating to the Company’s stock, whether or not issued by the Company, or financial instruments that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designed to hedge or offset any decrease in the market value of the Company’s stock (including but not limited to prepaid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variable forward contracts, equity swaps, collars and exchange funds) or otherwise engage in transactions that hedge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offset, or are designed to hedge or offset, any decrease in the market value of Company equity securities (a) granted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person by the Company as part of the compensation of such person; or (b) held, directly or indirectly, by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person. The Insider Trading Policy also restricts directors and executive officers from pledging more than 25% of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holdings of the Company’s stock without the prior written consent of the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Committee.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Equity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Grant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generally grants annual equity awards to executive officers at its regularly scheduled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February. Awards to non-executive employees are typically granted during the first half of the year. Although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did not grant stock options or stock appreciation rights in 2025, eligible employees may enroll to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the Company’s Common Stock under the terms of the Matador Resources Company 2022 Employee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 Plan (the “ESPP”), with purchase dates generally in June and December of each year. In special circumstances,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the hiring or promotion of an individual or where it is otherwise determined to be in the Company’s best interest,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may approve grants to be effective at other times. The Company may change its equity grant practices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future.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does not approve grants in anticipation of the release of material nonpublic information and does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disclosure of material nonpublic information for the purpose of affecting the value of executive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maintains a compensation clawback policy applicable to the Company’s executive officers in accordance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applicable NYSE listing rules, a copy of which is filed as an exhibit to the Company’s Annual Report on Form 10-K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  The Company’s clawback policy generally requires recovery of incentive-based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received by current and former executive officers during the three fiscal years preceding the date it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that the Company is required to prepare an accounting restatement of its financial statements (including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correction recorded in the Company’s current period financial statements) due to material non-compliance with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reporting requirement under the federal securities laws. The amount required to be recovered is the excess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amount of incentive-based compensation received over the amount that would have been received had it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determined or calculated based on the Company’s restated financial results.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Strategic Planning and Compensation Committee Report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4" name="Image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84" descr="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3" w:name="i-84"/>
      <w:bookmarkEnd w:id="8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reviewed and discussed with management the Compensation Discussion and Analysis required by Item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402(b) of Regulation S-K and based on such review and discussions, we recommended to the Board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Discussion and Analysis be included in this Proxy Statement and incorporated by reference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Strategic Planning and Compensation Committee,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R. Gaines Baty, Chair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Reynald A. Baribault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Monika U. Ehrman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Timothy E. Parker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Kenneth L. Stewart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Summary Compensation Table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5" name="Image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85" descr="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4" w:name="i-85"/>
      <w:bookmarkEnd w:id="8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summarizes the total compensation awarded to, earned by or paid to the Named Executive Officers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Messrs. Krug and Erman were not Named Executive Officers prior to 2024, and Messrs. Macalik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Lambert were not Named Executive Officers prior to 2025. This table and the accompanying narrative should be read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conjunction with the CD&amp;A, which sets forth the objectives and other information regarding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88"/>
        <w:gridCol w:w="526"/>
        <w:gridCol w:w="1036"/>
        <w:gridCol w:w="1449"/>
        <w:gridCol w:w="1583"/>
        <w:gridCol w:w="1441"/>
        <w:gridCol w:w="1082"/>
      </w:tblGrid>
      <w:tr>
        <w:trPr/>
        <w:tc>
          <w:tcPr>
            <w:tcW w:w="30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 and Principal Position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Non-Equity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$1,800,000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$4,222,400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$3,726,000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$27,211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$9,775,611</w:t>
            </w:r>
          </w:p>
        </w:tc>
      </w:tr>
      <w:tr>
        <w:trPr/>
        <w:tc>
          <w:tcPr>
            <w:tcW w:w="308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Chairman of the Board and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$1,500,000</w:t>
            </w:r>
          </w:p>
        </w:tc>
        <w:tc>
          <w:tcPr>
            <w:tcW w:w="144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$3,010,300</w:t>
            </w:r>
          </w:p>
        </w:tc>
        <w:tc>
          <w:tcPr>
            <w:tcW w:w="158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$3,900,000</w:t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$26,749</w:t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$8,437,049</w:t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Executive Officer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$1,350,000</w:t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$3,575,900</w:t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$3,105,000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$25,699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$8,056,599</w:t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$900,000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$2,111,200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$1,630,125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$4,665,825</w:t>
            </w:r>
          </w:p>
        </w:tc>
      </w:tr>
      <w:tr>
        <w:trPr/>
        <w:tc>
          <w:tcPr>
            <w:tcW w:w="308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Co-President - Land, Acquisitions</w:t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44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$1,933,750</w:t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$24,150</w:t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$4,313,050</w:t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Divestitures and Planning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$800,000</w:t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$1,787,950</w:t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$1,610,000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$23,100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$4,221,050</w:t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$900,000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$1,900,080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$1,630,125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$4,454,705</w:t>
            </w:r>
          </w:p>
        </w:tc>
      </w:tr>
      <w:tr>
        <w:trPr/>
        <w:tc>
          <w:tcPr>
            <w:tcW w:w="308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Co-President, Chief Legal Officer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$700,000</w:t>
            </w:r>
          </w:p>
        </w:tc>
        <w:tc>
          <w:tcPr>
            <w:tcW w:w="144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8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$1,542,500</w:t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$24,150</w:t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$3,771,800</w:t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Head of M&amp;A, Corporate Secretary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Robert T. Macalik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$1,900,080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$1,539,563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$4,314,143</w:t>
            </w:r>
          </w:p>
        </w:tc>
      </w:tr>
      <w:tr>
        <w:trPr/>
        <w:tc>
          <w:tcPr>
            <w:tcW w:w="308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Former Executive Vice President</w:t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Chief Financial Officer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$900,000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$1,900,080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$1,559,250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$4,383,830</w:t>
            </w:r>
          </w:p>
        </w:tc>
      </w:tr>
      <w:tr>
        <w:trPr/>
        <w:tc>
          <w:tcPr>
            <w:tcW w:w="308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Vice President-Midstream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44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8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$1,487,500</w:t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$24,150</w:t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$3,866,800</w:t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$600,000</w:t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$1,008,980</w:t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$1,365,000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$23,100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$2,997,080</w:t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$900,000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$2,111,200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$1,630,125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$4,665,825</w:t>
            </w:r>
          </w:p>
        </w:tc>
      </w:tr>
      <w:tr>
        <w:trPr/>
        <w:tc>
          <w:tcPr>
            <w:tcW w:w="308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Former Executive Vice President - </w:t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44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$1,933,750</w:t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$24,150</w:t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$4,313,050</w:t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Marketing and Midstream Strategy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William D. Lambert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$362,576</w:t>
            </w:r>
          </w:p>
        </w:tc>
        <w:tc>
          <w:tcPr>
            <w:tcW w:w="144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$895,300</w:t>
            </w:r>
          </w:p>
        </w:tc>
        <w:tc>
          <w:tcPr>
            <w:tcW w:w="158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$24,422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$1,282,298</w:t>
            </w:r>
          </w:p>
        </w:tc>
      </w:tr>
      <w:tr>
        <w:trPr/>
        <w:tc>
          <w:tcPr>
            <w:tcW w:w="308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Former Executive Vice President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8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Chief Financial Officer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Reflects the grant date fair value of phantom units, PSUs or restricted stock awards, as applicable, computed in accordance with Financial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Accounting Standards Board (“FASB”) Accounting Standards Codification (“ASC”) Topic 718, excluding the effect of any estimated forfeitures.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Company uses the Monte Carlo simulation method to measure the fair value of PSUs and the closing price of the Company's Common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on the trading day prior to the grant date to measure the fair value of restricted stock and phantom unit awards. See Notes 2 and 9 to the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Company’s consolidated financial statements included in its Annual Report on Form 10-K for the year ended 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for additional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detail regarding assumptions underlying the value of these awards. For 2025, the portion of the amount reflected in this column relating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PSUs is calculated based on probable outcome with respect to achievement of the applicable performance goals as of the grant date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assumes achievement between threshold and target. The grant date fair value of PSUs granted in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assuming achievement of maximum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performance is $4,569,600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Mr. Foran, $2,284,800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Messrs. Singleton and Krug, $2,056,320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for Messrs. Erman, Macalik and Willey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$821,800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Mr. Lambert.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awards pursuant to the Cash Incentive Plan. See “—Compensation Discussion and Analysis—2025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Cash Incentive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Compensation” above.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Consists of $24,500 in 401(k) Company and matching contributions as described in “—Compensation Discussion and Analysis—Benefits”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$2,711 in long-term care insurance premiums.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Reflects 401(k) Company and matching contributions as described in “—Compensation Discussion and Analysis—Benefits.”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(5)Consists of $14,502 in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relocation expense reimbursements in connection with employment agreement and $9,920 in 401(k) Company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matching contributions as described in “—Compensation Discussion and Analysis—Benefits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Grants of Plan-Based Awards Table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6" name="Image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6" descr="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5" w:name="i-86"/>
      <w:bookmarkEnd w:id="8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sets forth certain information regarding non-equity incentive awards granted by the Independent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the Cash Incentive Plan and awards of cash-settled phantom units and share-settled PSUs granted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Independent Board to the Named Executive Officers pursuant to the 2019 Plan during the year ended December 31,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85"/>
        <w:gridCol w:w="718"/>
        <w:gridCol w:w="1151"/>
        <w:gridCol w:w="1019"/>
        <w:gridCol w:w="1085"/>
        <w:gridCol w:w="1141"/>
        <w:gridCol w:w="766"/>
        <w:gridCol w:w="1075"/>
        <w:gridCol w:w="893"/>
        <w:gridCol w:w="1072"/>
      </w:tblGrid>
      <w:tr>
        <w:trPr/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8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5" w:type="dxa"/>
            <w:gridSpan w:val="3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Estimated Future Payouts Under Non-Equity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Incentive Plan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2982" w:type="dxa"/>
            <w:gridSpan w:val="3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Estimated Future Payouts Under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Incentive Plan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893" w:type="dxa"/>
            <w:vMerge w:val="restart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Units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  <w:tc>
          <w:tcPr>
            <w:tcW w:w="1072" w:type="dxa"/>
            <w:vMerge w:val="restart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Grant Date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Fair Value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28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1019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85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1141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766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75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893" w:type="dxa"/>
            <w:vMerge w:val="continue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2" w:type="dxa"/>
            <w:vMerge w:val="continue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71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Grant Date</w:t>
            </w:r>
          </w:p>
        </w:tc>
        <w:tc>
          <w:tcPr>
            <w:tcW w:w="115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19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85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14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766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75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89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72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4,680,000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107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80,000</w:t>
            </w:r>
          </w:p>
        </w:tc>
        <w:tc>
          <w:tcPr>
            <w:tcW w:w="89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1,937,600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2,284,800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2,047,500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7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968,800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1,142,400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2,047,500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36,000</w:t>
            </w:r>
          </w:p>
        </w:tc>
        <w:tc>
          <w:tcPr>
            <w:tcW w:w="89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871,920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1,028,160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Robert T. Macalik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1,933,750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36,000</w:t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871,920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1,028,160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2,047,500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36,000</w:t>
            </w:r>
          </w:p>
        </w:tc>
        <w:tc>
          <w:tcPr>
            <w:tcW w:w="89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871,920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1,028,160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2,047,500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7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968,800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1,142,400</w:t>
            </w:r>
          </w:p>
        </w:tc>
      </w:tr>
      <w:tr>
        <w:trPr/>
        <w:tc>
          <w:tcPr>
            <w:tcW w:w="12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William D. Lambert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0"/>
                <w:u w:val="none"/>
                <w:effect w:val="none"/>
              </w:rPr>
              <w:t>(5)</w:t>
            </w:r>
          </w:p>
        </w:tc>
        <w:tc>
          <w:tcPr>
            <w:tcW w:w="71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800,000</w:t>
            </w:r>
          </w:p>
        </w:tc>
        <w:tc>
          <w:tcPr>
            <w:tcW w:w="10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1,820,000</w:t>
            </w:r>
          </w:p>
        </w:tc>
        <w:tc>
          <w:tcPr>
            <w:tcW w:w="11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5/5/25</w:t>
            </w:r>
          </w:p>
        </w:tc>
        <w:tc>
          <w:tcPr>
            <w:tcW w:w="115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89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484,400</w:t>
            </w:r>
          </w:p>
        </w:tc>
      </w:tr>
      <w:tr>
        <w:trPr/>
        <w:tc>
          <w:tcPr>
            <w:tcW w:w="12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5/5/25</w:t>
            </w:r>
          </w:p>
        </w:tc>
        <w:tc>
          <w:tcPr>
            <w:tcW w:w="115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1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410,900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the target and maximum opportunities under the Cash Incentive Plan. See “—Compensation Discussion and Analysis—2025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Cash Incentive Compensation” and “—Summary Compensation Table— Non-Equity Incentive Plan Compensation” regarding the actual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payments made to the Named Executive Officers pursuant to the Cash Incentive Plan.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PSUs that provide for settlement of between 0% and 200% of the total target shares subject to the award based on achievement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relative total shareholder return performance metric over a three-year performance period from January 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through December 31, 2027.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If our absolute total shareholder return over such performance period is negative, no more than 100%, the target level, of the PSUs may vest.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See “—Compensation Discussion and Analysis—2025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Long-Term Incentive Compensation.” The PSUs do not provide for a threshold number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that may be earned.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phantom units that provide for settlement in cash. See “—Compensation Discussion and Analysis—2025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Long-Term Incentive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Compensation.”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the grant date fair value of phantom units or PSUs, as applicable, computed in accordance with FASB ASC Topic 718, excluding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effect of any estimated forfeitures. The Company uses the Monte Carlo simulation method to measure the grant date fair value of PSUs and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closing price of the Company's Common Stock on the trading day prior to the grant date to measure the grant date fair value of phantom unit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awards. See Notes 2 and 9 to the Company’s consolidated financial statements included in its Annual Report on Form 10-K for the year ended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additional detail regarding assumptions underlying the value of these awards.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(5)Mr. Lambert departed the Company in September 2025. Mr. Lambert's Cash Incentive Plan award and outstanding equity incentive plan awards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were forfeited upon the end of his employment.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Outstanding Equity Awards at December 31, 2025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7" name="Image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87" descr="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6" w:name="i-87"/>
      <w:bookmarkEnd w:id="86"/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Option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the total outstanding shares of restricted stock, cash-settled phantom units and share-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settled PSUs held as of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each Named Executive Officer.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None of the Named Executive Officers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held any unexercised stock options as of such date.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Mr. Lambert departed the Company in September 2025, and all of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equity awards were forfeited upon the end of his employment.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81"/>
        <w:gridCol w:w="1297"/>
        <w:gridCol w:w="1373"/>
        <w:gridCol w:w="1909"/>
        <w:gridCol w:w="1948"/>
        <w:gridCol w:w="1997"/>
      </w:tblGrid>
      <w:tr>
        <w:trPr/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4" w:type="dxa"/>
            <w:gridSpan w:val="5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9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 Type</w:t>
            </w:r>
          </w:p>
        </w:tc>
        <w:tc>
          <w:tcPr>
            <w:tcW w:w="137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Shares or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 Stock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909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 Value of 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Units of Stock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948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 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Unearned Shares,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Other Rights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99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 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Market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Payout Value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Unearned Shares,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Other Rights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2,970,800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2,546,400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1,485,400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28,000</w:t>
            </w:r>
          </w:p>
        </w:tc>
        <w:tc>
          <w:tcPr>
            <w:tcW w:w="19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113,187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Robert T. Macalik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763,920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28,000</w:t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9,334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396,135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28,000</w:t>
            </w:r>
          </w:p>
        </w:tc>
        <w:tc>
          <w:tcPr>
            <w:tcW w:w="19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113,187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1,485,400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market value is calculated based upon the closing price of our Common Stock on 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$42.44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 share.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(2)In accordance with SEC rules, the number of unearned PSUs and market value presented assume vesting at the target level for the 2024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2025 PSUs, in each case calculated based upon the closing price of our Common Stock on 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$42.44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 share.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provides the vesting dates for restricted stock, cash-settled phantom units and share-settled PSUs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as of December 31, 2025: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75"/>
        <w:gridCol w:w="1509"/>
        <w:gridCol w:w="1180"/>
        <w:gridCol w:w="1207"/>
        <w:gridCol w:w="1366"/>
        <w:gridCol w:w="975"/>
        <w:gridCol w:w="1260"/>
        <w:gridCol w:w="1333"/>
      </w:tblGrid>
      <w:tr>
        <w:trPr/>
        <w:tc>
          <w:tcPr>
            <w:tcW w:w="13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7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Vesting Date</w:t>
            </w:r>
          </w:p>
        </w:tc>
        <w:tc>
          <w:tcPr>
            <w:tcW w:w="150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 Type</w:t>
            </w:r>
          </w:p>
        </w:tc>
        <w:tc>
          <w:tcPr>
            <w:tcW w:w="118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Joseph Wm.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Foran</w:t>
            </w:r>
          </w:p>
        </w:tc>
        <w:tc>
          <w:tcPr>
            <w:tcW w:w="120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Van H.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Singleton, II</w:t>
            </w:r>
          </w:p>
        </w:tc>
        <w:tc>
          <w:tcPr>
            <w:tcW w:w="136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97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Robert T.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Macalik</w:t>
            </w:r>
          </w:p>
        </w:tc>
        <w:tc>
          <w:tcPr>
            <w:tcW w:w="126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33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G. Gregg Krug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3,333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13,333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6,666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6,666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12/31/26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/>
                <w:sz w:val="16"/>
              </w:rPr>
              <w:t>PSUs</w:t>
            </w:r>
            <w:r>
              <w:rPr>
                <w:rFonts w:ascii="sans-serif" w:hAnsi="sans-serif"/>
                <w:b w:val="false"/>
                <w:i/>
                <w:sz w:val="10"/>
              </w:rPr>
              <w:t>(1)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2/14/27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2/14/27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3,334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2/14/27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13,333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6,667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6,667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12/31/27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/>
                <w:sz w:val="16"/>
              </w:rPr>
              <w:t>PSUs</w:t>
            </w:r>
            <w:r>
              <w:rPr>
                <w:rFonts w:ascii="sans-serif" w:hAnsi="sans-serif"/>
                <w:b w:val="false"/>
                <w:i/>
                <w:sz w:val="10"/>
              </w:rPr>
              <w:t>(1)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</w:tr>
      <w:tr>
        <w:trPr/>
        <w:tc>
          <w:tcPr>
            <w:tcW w:w="1375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2/14/28</w:t>
            </w:r>
          </w:p>
        </w:tc>
        <w:tc>
          <w:tcPr>
            <w:tcW w:w="1509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180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13,334</w:t>
            </w:r>
          </w:p>
        </w:tc>
        <w:tc>
          <w:tcPr>
            <w:tcW w:w="1207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6,667</w:t>
            </w:r>
          </w:p>
        </w:tc>
        <w:tc>
          <w:tcPr>
            <w:tcW w:w="1366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975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260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333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6,667</w:t>
            </w:r>
          </w:p>
        </w:tc>
      </w:tr>
      <w:tr>
        <w:trPr/>
        <w:tc>
          <w:tcPr>
            <w:tcW w:w="288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Unvested Shares and Units</w:t>
            </w:r>
          </w:p>
        </w:tc>
        <w:tc>
          <w:tcPr>
            <w:tcW w:w="1180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130,000</w:t>
            </w:r>
          </w:p>
        </w:tc>
        <w:tc>
          <w:tcPr>
            <w:tcW w:w="1207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65,000</w:t>
            </w:r>
          </w:p>
        </w:tc>
        <w:tc>
          <w:tcPr>
            <w:tcW w:w="1366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58,667</w:t>
            </w: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55,334</w:t>
            </w: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58,667</w:t>
            </w:r>
          </w:p>
        </w:tc>
        <w:tc>
          <w:tcPr>
            <w:tcW w:w="1333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65,000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vesting date shown reflects the end of the performance period established by the PSU award agreements. The PSUs settle following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Compensation Committee’s certification of the achievement of the performance goal, which must occur within 60 days of completion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performance period; however, continued employment is only required through the end of the performance period. The number of PSUs shown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assumes vesting at the target level for the 2024 and 2025 PSUs.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Option Exercises and Stock Vested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8" name="Image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88" descr="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7" w:name="i-88"/>
      <w:bookmarkEnd w:id="8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provides information on the stock awards (consisting of restricted stock, cash-settled phantom units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share-settled PSUs) that vested for each Named Executive Officer during 2025.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None of the Named Executive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held or exercised any stock options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77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6"/>
        <w:gridCol w:w="3031"/>
        <w:gridCol w:w="2806"/>
      </w:tblGrid>
      <w:tr>
        <w:trPr/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7" w:type="dxa"/>
            <w:gridSpan w:val="2"/>
            <w:tcBorders>
              <w:bottom w:val="single" w:sz="4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9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3031" w:type="dxa"/>
            <w:tcBorders>
              <w:top w:val="single" w:sz="4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Acquired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Vesting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2806" w:type="dxa"/>
            <w:tcBorders>
              <w:top w:val="single" w:sz="4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Value Realized on Vesting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48,411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2,584,877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23,846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1,271,879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15,027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804,130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Robert T. Macalik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13,360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708,911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15,027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804,130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23,846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1,271,879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Reflects the aggregate number of shares of restricted stock, cash-settled phantom units and share-settled PSUs that vested. Pursuant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terms thereof, the phantom units were settled in cash, and the grantee did not acquire any shares upon vesting.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(2)Reflects the number of shares of restricted stock, cash-settled phantom units and share-settled PSUs vested multiplied by the closing price of our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on the applicable vesting date.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9" name="Image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89" descr="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8" w:name="i-89"/>
      <w:bookmarkEnd w:id="88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Long-Term Incentive Plans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 awards under the 2019 Plan, other than the PSUs, vest upon a “change in control” for the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Officers according to the terms of their employment agreements described below.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terms of the PSU award agreements, upon a “change in control,” the Named Executive Officer would vest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number of PSUs that would have otherwise vested based on the Company’s performance through an abbreviated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period that ends immediately prior to the effective date of such change in control. For definition of “change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control,” please see the 2019 Plan, which is included as an exhibit to the Company’s most recent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described under “—Compensation Discussion and Analysis—Severance and Separation Arrangements—Employment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Agreements,” in contemplation of our initial public offering, on August 9, 2011, we entered into an employment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Mr. Foran and, in each of October and December 2011, amended Mr. Foran’s employment agreement. Effective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February 2016, we entered into an employment agreement with Mr. Krug and, in July 2019, amended Mr. Krug's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employment agreement. In addition, in February 2015, we entered into an employment agreement with Mr. Singleton and,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April 2024, we entered into employment agreements with Messrs. Erman, Macalik and Willey.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similar employment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 was entered into with Mr. Lambert in May 2025 in connection with his hiring.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principal difference in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Foran's employment agreement as compared to the other Named Executive Officers' employment agreements is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other Named Executive Officers' agreements do not include a “modified single trigger” that would have allowed them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receive “change in control” severance if they terminated their agreements without “good reason” within 30 days prior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12 months after a change in control. In addition to not including a “modified single trigger,” Messrs. Erman and Willey's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employment agreements do not include (and Messrs. Lambert's and Macalik's did not include) termination for good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reason as a trigger to receive severance payments and benefits except following a change in control and include a longer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non-compete covenant, as discussed below. Pursuant to the terms of the employment agreements, we may be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make certain payments to one or more of our Named Executive Officers upon the occurrence of certain events resulting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Named Executive Officer’s termination. The employment agreements do not provide for gross-ups for excise taxes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severance or other payments in connection with a change in control. For a detailed description of the events that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trigger such payments, see “—Compensation Discussion and Analysis—Severance and Separation Arrangements—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Employment Agreements.”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employment agreements each contain a non-disclosure of confidential information provision that requires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 to maintain, both during and after employment, the confidentiality of information used by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Named Executive Officer in the performance of his job duties.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Additionally, each of the employment agreements contains a non-competition provision, pursuant to which each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has agreed that: (i) for six months following termination by us for total disability, or by such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(excluding Messrs. Erman, Macalik, Willey and Lambert) for good reason or (ii) for 12 months,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Messrs. Foran, Singleton and Krug and 18 months with respect to Messrs. Erman, Macalik, Willey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Lambert, following termination (a) by us for just cause, (b) by such Named Executive Officer other than for good reason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(excluding Messrs. Erman, Macalik, Willey and Lambert, who are subject to such 18-month restriction upon any voluntary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resignation) or (c) upon a termination without just cause or for good reason in connection with a change in control (24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months with respect to Messrs. Erman, Macalik, Willey and Lambert), such Named Executive Officer shall not, without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prior written consent (not to be unreasonably withheld if the Named Executive Officer’s employment is terminated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 other than for good reason (excluding Messrs. Erman, Macalik, Willey and Lambert)), directly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indirectly: (x) invest in (other than investments in publicly-owned companies which constitute not more than 1%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voting securities of any such company) a competing business with significant assets in the restricted area or (y) participate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 competing business as a manager, employee, director, officer, consultant, independent contractor or other capacity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provide, directly or indirectly, services or assistance to a competing business in a position that involves input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into or direction of such competing business’s decisions within the restricted area.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definitions of “change in control,” “good reason,” “just cause,” “competing business,” “significant assets” and “restricted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area,” please see the employment agreement of each Named Executive Officer, each of which is included as an exhibit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Company’s most recent Annual Report on Form 10-K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Furthermore, other than Mr. Foran’s employment agreement, each employment agreement contains a non-solicitation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provision, pursuant to which, during the restricted periods described above (except Messrs. Erman, Macalik,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Willey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Lambert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 restricted period is six months for disability termination and 24 months for the other terminations specified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above), subject to certain exceptions, Messrs.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Singleton, Erman, Macalik, Willey, Lambert and Krug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shall not, without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prior written consent, solicit for employment or a contracting relationship, or employ or retain any person who is or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been, within six months prior to such time, employed by or engaged as an individual independent contractor by us or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affiliates or induce or attempt to induce any such person to leave his or her employment or independent contractor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relationship with us or our affiliates.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Named Executive Officer to receive any severance payments and benefits described below for termination by 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without just cause, by the Named Executive Officer for good reason or, following a change in control, by us without cause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by the Named Executive Officer with good reason, with respect to Messrs.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Singleton, Erman, Macalik, Willey and Krug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with or without good reason, with respect to Mr. Foran, the Named Executive Officer must comply with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non-disclosure, non-competition and non-solicitation provisions described above.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Finally, as a condition to receiving any severance payments and benefits under their respective employment agreements,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each Named Executive Officer is required to execute a separation agreement and release in favor of us.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connection with his retirement and transition to Special Advisor, Mr. Krug entered into the Advisor Agreement,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agreement was effective simultaneously with Mr. Krug's retirement on February 28, 2026 and will expire on December 31,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subject to month-to-month extensions thereafter. The Advisor Agreement provides for a monthly fee of $1,000.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describe the payments and benefits that are triggered for each event of termination, we have created the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table estimating the payments and benefits that would be paid to each Named Executive Officer, other than Mr. Lambert,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who departed the Company in September of 2025, forfeited his outstanding unvested equity award as of the end of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employment and received no other compensation or benefits in connection with his termination. The following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assumes that such Named Executive Officer’s employment agreement terminated on December 31, 2025, the last day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fiscal year. In all cases, the accelerated equity awards were valued as of December 31, 2025, based upon,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where applicable, $42.44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share (the closing price of our Common Stock on such date). The amounts in the table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below are calculated as of December 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SEC rules and are not intended to reflect actual payments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may be made. Actual payments that may be made would be based on the dates and circumstances of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3"/>
        <w:gridCol w:w="1691"/>
        <w:gridCol w:w="1677"/>
        <w:gridCol w:w="1585"/>
        <w:gridCol w:w="1646"/>
        <w:gridCol w:w="1653"/>
      </w:tblGrid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2" w:type="dxa"/>
            <w:gridSpan w:val="5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Payment Upon Change in Control or Termination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Named Executive Officer</w:t>
            </w:r>
          </w:p>
        </w:tc>
        <w:tc>
          <w:tcPr>
            <w:tcW w:w="169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Category of Payment</w:t>
            </w:r>
          </w:p>
        </w:tc>
        <w:tc>
          <w:tcPr>
            <w:tcW w:w="167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Upon Mutual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Agreement,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Dissolution/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Liquidation, Death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Total Disability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585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Termination by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Us Without Just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Cause or by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Officer for Good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Reason 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646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Termination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Following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Change in Control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Without Cause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by 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 or 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Good Reason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(2)(3)</w:t>
            </w:r>
          </w:p>
        </w:tc>
        <w:tc>
          <w:tcPr>
            <w:tcW w:w="165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Termination 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3,600,000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5,400,000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3,813,000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7,626,000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11,439,000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2,970,800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2,546,400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2,546,400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3,813,000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11,226,000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22,356,200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2,546,400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1,350,000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2,700,000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1,781,938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2,672,906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5,345,813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1,485,400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1,781,938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4,022,906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10,804,413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1,350,000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2,700,000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1,586,313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2,379,469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4,758,938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113,187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1,586,313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3,729,469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9,948,765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Robert T. Macalik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1,275,000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2,550,000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1,539,563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2,309,345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4,618,689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763,920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396,135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1,539,563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3,584,345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9,517,064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1,350,000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2,700,000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1,523,375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2,285,063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4,570,125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113,187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1,523,375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3,635,063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9,759,952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1,188,320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1,350,000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2,700,000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1,781,938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2,672,906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5,345,813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1,485,400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1,781,938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4,022,906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10,804,413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1,273,200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due upon death, total disability, mutual agreement, dissolution or liquidation, termination by us without cause or termination by a Named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Executive Officer for good reason are payable in a lump sum on the 60th day following the date of termination unless otherwise required by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Section 409A of the Code. Messrs. Erman and Willey's employment agreements do not (and Mr. Macalik’s employment agreement did not)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provide for severance payments and benefits if they terminate for “good reason” except following a change in control.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due to Messrs. Foran, Singleton and Krug in the event that such Named Executive Officer is terminated without “just cause” 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terminates his employment for “good reason” (or by Mr. Foran without good reason) within 30 days prior to, or 12 months following, a “change in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control” are payable in a lump sum on the date that immediately follows six months from the date of termination or, if earlier, within 30 days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following such Named Executive Officer’s death. Amounts due to Messrs. Erman, Macalik and Willey in the event that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Officer is terminated without “just cause” or terminates his employment for “good reason” within 30 days prior to, or 12 months following, a 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change in control” are payable in a lump sum on the 60th day following the date of termination unless otherwise required by Section 409A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Code.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Pursuant to the terms of the PSU award agreements, upon a “change in control,” the Named Executive Officer would vest in the number of PSUs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that would have otherwise vested based on the Company’s performance through an abbreviated performance period that ends immediately prior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to the effective date of such change in control. The amount shown assumes achievement of the 50th percentile in relative total shareholder return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performance with 100% of target units vesting.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two times such Named Executive Officer’s base salary as of the termination date.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three times such Named Executive Officer’s base salary as of the termination date.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an amount equal to the average annual cash bonus pursuant to the Cash Incentive Plan paid to such Named Executive Officer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2024, respectively.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two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2024, respectively.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(8)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three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2024, respectively.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(9)Mr. Foran’s employment agreement provides for accelerated and full vesting of unvested equity incentive awards held by him in the event that 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is terminated without “just cause” or terminates his employment with or without “good reason” within 30 days prior to, or 12 months following, a 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change in control.” Messrs. Singleton, Erman, Macalik, Willey and Krug’s employment agreements provide for accelerated and full vesting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unvested equity incentive awards held by these Named Executive Officers in the event that such Named Executive Officer is terminated without 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just cause” or terminates his employment with “good reason,” within 30 days prior to, or 12 months following, a “change in control.” The amounts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disclosed reflect the closing price of our Common Stock on December 31,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$42.44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per share multiplied by the number of unvested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phantom units, restricted stock or PSUs, as applicable, held by such Named Executive Officer on December 31, 2025.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(10)Represents 1.5 times such Named Executive Officer’s base salary as of the termination date.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1.5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2024, respectively.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CHIEF EXECUTIVE OFFICER PAY RATIO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CHIEF EXECUTIVE OFFICER PAY RATIO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required by Section 953(b) of the Dodd-Frank Wall Street Reform and Consumer Protection Act and Item 402(u)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 S-K (“Item 402(u)”), we are providing the following information regarding the ratio of the annual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our median-compensated employee (as described below) and that of our Chairman and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Officer, Joseph Wm. Foran. We believe that the pay ratio reflected below is a reasonable estimate calculated in a manner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consistent with Item 402(u).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SEC’s rules for identifying the median compensated employee and calculating the pay ratio based on that employee’s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total compensation allow companies to adopt a variety of methodologies, to apply certain exclusions and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reasonable estimates and assumptions that reflect their employee populations and compensation practices. As a result,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pay ratio reported by other companies may not be comparable to the pay ratio reported below, as other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different employee populations and compensation practices and may utilize different methodologies, exclusions,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estimates and assumptions in calculating their own pay ratios.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Item 402(u), we identified the median-compensated employee of all our employees (other than Mr. Foran)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using our employee population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which consisted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476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 (all of which are located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United States), and using a compensation measure of total cash compensation, consisting of total base pay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bonuses earned during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This compensation measure was consistently applied to all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employees. Compensation was annualized on a straight-line basis for employees who did not work all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After identifying the median-compensated employee using this consistently applied compensation measure, we then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calculated that employee’s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total compensation in the same manner used to calculate the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Officers’ total compensation, as reported in the Summary Compensation Table.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annual total compensation of our median-compensated employee was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$225,777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the annual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Mr. Foran was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$9,775,611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as reported in the Summary Compensation Table. Based on this information,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ratio of Mr. Foran’s annual total compensation to the annual total compensation of our median-compensated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 was estimated to be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1.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required by Section 953(a) of the Dodd-Frank Wall Street Reform and Consumer Protection Act and Item 402(v)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 S-K, we are providing the following information about the relationship between executive “compensation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actually paid” and certain financial performance of the Company. For further information concerning the Company’s pay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performance philosophy and how the Company aligns executive compensation with the Company’s performance, see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Compensation—Compensation Discussion and Analysis.”</w:t>
      </w:r>
    </w:p>
    <w:tbl>
      <w:tblPr>
        <w:tblW w:w="113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1441"/>
        <w:gridCol w:w="1441"/>
        <w:gridCol w:w="1441"/>
        <w:gridCol w:w="1441"/>
        <w:gridCol w:w="1231"/>
        <w:gridCol w:w="1231"/>
        <w:gridCol w:w="1246"/>
        <w:gridCol w:w="1291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(a)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Principal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(“PEO”)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 xml:space="preserve">(1)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(b)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 Paid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 PEO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(c)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Officers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(d)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 Paid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 Non-PEO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Officers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(e)</w:t>
            </w:r>
          </w:p>
        </w:tc>
        <w:tc>
          <w:tcPr>
            <w:tcW w:w="2462" w:type="dxa"/>
            <w:gridSpan w:val="2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 of Initial Fixed $100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Investment Based On:</w:t>
            </w:r>
          </w:p>
        </w:tc>
        <w:tc>
          <w:tcPr>
            <w:tcW w:w="1246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Net Income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(7)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(h)</w:t>
            </w:r>
          </w:p>
        </w:tc>
        <w:tc>
          <w:tcPr>
            <w:tcW w:w="129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Adj. EBITDA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(8)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(i)</w:t>
            </w:r>
          </w:p>
        </w:tc>
      </w:tr>
      <w:tr>
        <w:trPr/>
        <w:tc>
          <w:tcPr>
            <w:tcW w:w="601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(5)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(f)</w:t>
            </w:r>
          </w:p>
        </w:tc>
        <w:tc>
          <w:tcPr>
            <w:tcW w:w="123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Peer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(6)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(g)</w:t>
            </w:r>
          </w:p>
        </w:tc>
        <w:tc>
          <w:tcPr>
            <w:tcW w:w="1246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$9,775,611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$6,800,301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$3,961,104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$2,676,938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$354.83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$193.01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$759,221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$2,294,551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$8,437,049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$9,339,737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$4,066,175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$4,385,440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$468.61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$187.97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$885,322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$2,298,777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$8,056,599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$7,633,074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$3,542,613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$3,274,057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$473.10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$204.12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$846,074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$1,849,547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$8,951,318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$21,872,248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$3,126,314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$7,943,940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$475.35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$192.58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$1,214,206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$2,127,156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$9,057,189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$27,355,621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$4,310,734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$12,883,431</w:t>
            </w:r>
          </w:p>
        </w:tc>
        <w:tc>
          <w:tcPr>
            <w:tcW w:w="12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$306.57</w:t>
            </w:r>
          </w:p>
        </w:tc>
        <w:tc>
          <w:tcPr>
            <w:tcW w:w="12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$137.26</w:t>
            </w:r>
          </w:p>
        </w:tc>
        <w:tc>
          <w:tcPr>
            <w:tcW w:w="12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$584,968</w:t>
            </w:r>
          </w:p>
        </w:tc>
        <w:tc>
          <w:tcPr>
            <w:tcW w:w="12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$1,051,973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The dollar amounts reported in column (b) are the amounts reported for Mr. Foran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each of the corresponding years in the “Total”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column of the Summary Compensation Table. See “Executive Compensation—Summary Compensation Table”.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  The dollar amounts reported in column (c) represent the amount of “compensation actually paid” to Mr. Foran, as computed in accordance with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Item 402(v) of Regulation S-K, and do not reflect the total compensation actually realized or received by Mr. Foran. These amounts reflect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included in the “Total” column of the Summary Compensation Table for each year, adjusted in accordance with these rules as shown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below for 2025. Equity values are calculated in accordance with FASB ASC Topic 718, and the valuation assumptions used to calculate fair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values did not materially differ from those disclosed at the time of grant.</w:t>
      </w:r>
    </w:p>
    <w:tbl>
      <w:tblPr>
        <w:tblW w:w="82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51"/>
        <w:gridCol w:w="1231"/>
      </w:tblGrid>
      <w:tr>
        <w:trPr/>
        <w:tc>
          <w:tcPr>
            <w:tcW w:w="7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 Actually Paid to PEO</w:t>
            </w:r>
          </w:p>
        </w:tc>
        <w:tc>
          <w:tcPr>
            <w:tcW w:w="12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Summary Compensation Table Total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$9,775,611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Less, value of “Stock Awards” reported in Summary Compensation Table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$(4,222,400)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Plus, year-end fair value of outstanding and unvested equity awards granted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$2,854,400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year over year change in fair value of outstanding and unvested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awards granted in prior years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$(1,137,800)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change in fair value from prior year-end to vesting date 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awards granted in prior years that vested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$(469,510)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Compensation Actually Paid to PEO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$6,800,301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(3)  The dollar amounts reported in column (d) represent the average of the amounts reported for the Named Executive Officers as a group (excluding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Mr. Foran) in the “Total” column of the Summary Compensation Table in each applicable year. Each of the Named Executive Officers included for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these purposes (the “Non-PEO Named Executive Officers”) in each applicable year are as follows: (i) for 2025, Messrs. Singleton, Erman, Macalik,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Willey, Krug and Lambert; (ii) for 2024, Messrs. Singleton, Willey, Krug and Erman; (iii) for 2023, Messrs. Singleton, Willey, Billy E. Goodwin, Craig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N. Adams and Michael D. Frenzel; (iv) for 2022, Messrs. Goodwin, Singleton, Adams, Frenzel and David E. Lancaster; and (v) for 2021, Messrs.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Adams, Goodwin, Lancaster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Matthew V. Hairford.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(4)  The dollar amounts reported in column (e) represent the average amount of “compensation actually paid” to the Non-PEO Named Executive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Officers, as computed in accordance with Item 402(v) of Regulation S-K. These amounts reflect the average of the amounts in the “Total” column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the Summary Compensation Table for each year, adjusted in accordance with these rules as shown below for 2025. Equity values are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calculated in accordance with FASB ASC Topic 718, and the valuation assumptions used to calculate fair values did not materially differ from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those disclosed at the time of the grant.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83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11"/>
        <w:gridCol w:w="1231"/>
      </w:tblGrid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Average Compensation Actually Paid to Non-PEO Named Executive Officers</w:t>
            </w:r>
          </w:p>
        </w:tc>
        <w:tc>
          <w:tcPr>
            <w:tcW w:w="12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Average Summary Compensation Table Total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$3,961,104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Less, average value of "Stock Awards" reported in Summary Compensation Table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$(1,802,990)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Plus, average year-end fair value of outstanding and unvested equity 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granted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$1,117,973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average year over year change in fair value of outstanding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unvested equity awards granted in prior years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$(450,285)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average change in fair value from prior year-end to vesting date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awards granted in prior years that vested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$(148,864)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Average Compensation Actually Paid to Non-PEO Named Executive Officers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$2,676,938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(5)  Total Shareholder Return is calculated by dividing (a) the sum of (i) the cumulative amount of dividends for the measurement period, assuming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dividend reinvestment, and (ii) the difference between the Company’s share price at the end of each fiscal year shown and the beginning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measurement period by (b) the Company’s share price at the beginning of the measurement period. The beginning of the measurement period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each year in the table is December 31, 2020.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(6) The peer group used for this purpose is the following published industry index: Russell 2000 Energy Index.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(7)  The dollar amounts reported represent the amount of net income reflected in the Company’s audited financial statements for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applicable year.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(8)  We determined Adjusted EBITDA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to be the most important financial performance measure used to link Company performance to "compensation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actually paid" to our PEO and Non-PEO Named Executive Officers in 2025. Adjusted EBITDA is a non-GAAP financial measure. For a definition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Adjusted EBITDA and a reconciliation of Adjusted EBITDA to Matador’s net income (loss) and net cash provided by operating activities, see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Annex A to this Proxy Statement. This performance measure may not have been the most important financial performance measure for prior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years and we may determine a different financial performance measure to be the most important financial performance measure in future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Description of Certain Relationships between Information Presented in the Pay Versus Performance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described in more detail in the section “Executive Compensation—Compensation Discussion and Analysis,”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executive compensation program reflects a variable pay-for-performance philosophy. While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utilizes several performance measures to align executive compensation with Company performance, all of those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measures are not presented in the Pay Versus Performance table. Moreover, the Company generally seeks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incentivize long-term performance, and therefore does not specifically align the Company’s performance measures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that is actually paid (as computed in accordance with SEC rules) for a particular year. In accordance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 rules, the Company is providing the following descriptions of the relationships between information presented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 Versus Performance table.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840480"/>
            <wp:effectExtent l="0" t="0" r="0" b="0"/>
            <wp:docPr id="90" name="Image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90" descr="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9" w:name="i-90"/>
      <w:bookmarkEnd w:id="89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91" name="Image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91" descr="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0" w:name="i-91"/>
      <w:bookmarkEnd w:id="90"/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92" name="Image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2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1" w:name="i-92"/>
      <w:bookmarkEnd w:id="9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 xml:space="preserve">Financial Performance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described in greater detail under “Executive Compensation—Compensation Discussion and Analysis,”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compensation program reflects a variable pay-for-performance philosophy. The metrics that the Company uses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both our long-term and short-term incentive awards are selected based on an objective of incentivizing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Officers to increase the value of our enterprise for our shareholders. The most important financial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measures used by the Company to link executive compensation actually paid to the Company’s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Officers, for the most recently completed fiscal year, to the Company’s performance are as follows: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Shareholder Return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2.Adjusted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3.Net Debt / 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4.Adjusted Operating Costs per BOE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5.Return on Average Capital Employed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summarizes the total compensation awarded or paid to non-employee directors during the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Mr. Foran did not receive any additional compensation for serving as a director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for his services as our Chairman and Chief Executive Officer is reflected in the Summary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Table.</w:t>
      </w:r>
    </w:p>
    <w:tbl>
      <w:tblPr>
        <w:tblW w:w="59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1"/>
        <w:gridCol w:w="1561"/>
        <w:gridCol w:w="1606"/>
        <w:gridCol w:w="931"/>
      </w:tblGrid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56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Fees Earned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Paid in Cash</w:t>
            </w:r>
          </w:p>
        </w:tc>
        <w:tc>
          <w:tcPr>
            <w:tcW w:w="16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Awards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9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Shelley F. Appel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$154,347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$354,300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Reynald A. Baribault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$185,000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$384,953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R. Gaines Baty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$185,000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$384,953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William M. Byerley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$135,000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$334,953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Monika U. Ehrman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$319,953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Paul W. Harvey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$79,059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$253,863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$332,922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James M. Howard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$55,000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Timothy E. Parker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(6)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$210,000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$409,953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Kenneth L. Stewart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$309,953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Susan M. Ward</w:t>
            </w:r>
          </w:p>
        </w:tc>
        <w:tc>
          <w:tcPr>
            <w:tcW w:w="156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$110,000</w:t>
            </w:r>
          </w:p>
        </w:tc>
        <w:tc>
          <w:tcPr>
            <w:tcW w:w="1606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$199,953</w:t>
            </w:r>
          </w:p>
        </w:tc>
        <w:tc>
          <w:tcPr>
            <w:tcW w:w="93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$309,953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(1)Reflects the grant date fair value of RSUs, calculated in accordance with FASB ASC Topic 718, excluding the effect of any estimated forfeitures.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See Note 9 to the Company’s consolidated financial statements included in its Annual Report on Form 10-K for the year ended December 31,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additional detail regarding assumptions underlying the value of these awards. RSUs granted for 2025-2026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service vest immediately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prior to the election of the nominees for director at the 2026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Meeting. See “—Compensation for 2025-2026.” As of December 31, 2025,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each individual who served as a director during 2025, other than Mr. Howard, held the following outstanding unvested stock awards, all of which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were RSUs. Mr. Howard did not hold any unvested RSUs at the end of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 his term as director expired at the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 Meeting.</w:t>
      </w:r>
    </w:p>
    <w:tbl>
      <w:tblPr>
        <w:tblW w:w="4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1"/>
        <w:gridCol w:w="2641"/>
      </w:tblGrid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26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Outstanding Stock Awards</w:t>
            </w:r>
          </w:p>
        </w:tc>
      </w:tr>
      <w:tr>
        <w:trPr/>
        <w:tc>
          <w:tcPr>
            <w:tcW w:w="183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Shelley F. Appel</w:t>
            </w:r>
          </w:p>
        </w:tc>
        <w:tc>
          <w:tcPr>
            <w:tcW w:w="26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Reynald A. Baribault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R. Gaines Baty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William M. Byerley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Monika U. Ehrman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Paul W. Harvey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Timothy E. Parker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Kenneth L. Stewart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Susan M. Ward</w:t>
            </w:r>
          </w:p>
        </w:tc>
        <w:tc>
          <w:tcPr>
            <w:tcW w:w="26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4,079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(2)Ms. Appel serves as ESG coordinator. The ESG coordinator receives an additional cash retainer of $50,000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(3)Mr. Baty serves as deputy lead independent director. The deputy lead independent director receives an additional cash retainer of $50,000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(4)Mr. Harvey was appointed to the Board on January 27, 2025. Because Mr. Harvey was appointed to the Board more than 180 days but fewer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than 270 days after the 2024 Annual Meeting, upon his appointment, Mr. Harvey was granted 1,267 RSUs, representing 50% of the RSUs that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other members of the Board received in 2024.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(5)Mr. Howard's term expired at the 2025 Annual Meeting.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(6)Mr. Parker serves as lead independent director. The lead independent director receives an additional cash retainer of $100,000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Compensation for 2025-2026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3" name="Image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93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2" w:name="i-93"/>
      <w:bookmarkEnd w:id="92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period commencing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and ending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our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directors’ compensation program was as set forth below: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cash retainer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$85,000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chair of each of the below committees received the following additional, annual cash retainer:</w:t>
      </w:r>
    </w:p>
    <w:tbl>
      <w:tblPr>
        <w:tblW w:w="4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1"/>
        <w:gridCol w:w="916"/>
      </w:tblGrid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91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Retainer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Operations and Engineering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Prospect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Strategic Planning and Compensation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Nominating and Corporate Governance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Sustainability and Development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 Markets and Finance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  <w:tr>
        <w:trPr/>
        <w:tc>
          <w:tcPr>
            <w:tcW w:w="34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Marketing and Midstream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lead independent director received an additional cash retainer of $100,000;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deputy lead independent director received an additional cash retainer of $50,000;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ESG coordinator received an additional cash retainer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$50,000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 the meeting of the Board immediately following the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Meeting, each non-employee director received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annual grant of RSUs equal to approximately $200,000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in value, which vests on the earlier of the first anniversary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Annual Meeting or immediately prior to the election of the nominees for director at the 2026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(the “2025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RSU Award”).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 director had been appointed or elected to the Board at any time following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but prior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would have been granted the applicable percentage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 detailed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below, effective on the date of such director’s appointment: (i) if a director had been appointed or elected to the Board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within 90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would have been entitled to receive 100%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Award; (ii) if a director had been appointed or elected to the Board more than 90 days but 180 or fewer days after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would have been entitled to receive 75%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Award; (iii) if a director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been appointed or elected to the Board more than 180 days but 270 or fewer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 would have been entitled to receive 50%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 and (iv) if a director was appointed or elected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more than 270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but prior to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would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been entitled to receive 25%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we reimburse our directors for travel, lodging and related expenses incurred in attending Board and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meetings.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Stock Ownership Guidelines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4" name="Image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94" descr="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3" w:name="i-94"/>
      <w:bookmarkEnd w:id="9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non-employee directors are expected to follow our voluntary stock ownership guidelines for non-employee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Within three years of becoming a director, each non-employee director is expected to own $425,000 of Common Stock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continue to hold such shares while serving as a director.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all directors owned or were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track to own within three years of becoming a director in excess of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425,000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Common Stock. Shares that count toward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stock ownership guidelines include RSUs.  Until a director reaches the expected stock ownership level, such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is expected to hold all shares received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information with respect to our equity compensation plans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57"/>
        <w:gridCol w:w="2150"/>
        <w:gridCol w:w="2223"/>
        <w:gridCol w:w="2175"/>
      </w:tblGrid>
      <w:tr>
        <w:trPr/>
        <w:tc>
          <w:tcPr>
            <w:tcW w:w="36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5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Plan Category</w:t>
            </w:r>
          </w:p>
        </w:tc>
        <w:tc>
          <w:tcPr>
            <w:tcW w:w="215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be Issued Upon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Exercise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Options,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Warrants and Rights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(a)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222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Weighted- 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Exercise Price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Options,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Warrants and Rights  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(b)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  <w:tc>
          <w:tcPr>
            <w:tcW w:w="217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Remaining Available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Future Issuance Under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  Compensation Plans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(Excluding Shares Reflected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  Column (a))    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(c)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Equity compensation plans approved by security holders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1,297,593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6,735,622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compensation plans not approved by security holders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1,297,593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6,735,622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Includes shares authorized under the Matador Resources Company Amended and Restated 2012 Long-Term Incentive Plan (as amended,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“2012 Plan”), the 2019 Plan and the ESPP.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(2)Reflects the number of PSUs granted under the 2019 Plan based on the maximum level of achievement, which may be more than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number of shares issued in settlement of PSUs that are ultimately earned.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(3)As of December 31, 2025, there were no outstanding stock options under any of the equity compensation plans.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Restricted stock, phantom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units, RSUs, and PSUs are not reflected in this column as they do not have an exercise price.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2,902,512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reserved for future issuance under the 2019 Plan and 3,833,110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reserved for future issuance under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ESPP. No further awards may be granted under the 2012 Plan, although awards remain outstanding thereunder.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Except as disclosed below,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there was not, nor was there proposed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any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series of similar transactions to which we were or are a party in which the amount involved exceeded or exceeds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$120,000 and in which any of our directors, nominees for directors, executive officers, beneficial owners of more than 5%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any class of our voting securities or any member of the immediate family of any of the foregoing persons had or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a direct or indirect material interest, other than compensation arrangements with directors and executive officers,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are described in “Executive Compensation— Compensation Discussion and Analysis” and “Director Compensation”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above.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Working Interest and Overriding Royalty Interest Owners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5" name="Image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95" descr="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4" w:name="i-95"/>
      <w:bookmarkEnd w:id="9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Joseph Wm. Foran, Chairman and Chief Executive Officer, Shelley F. Appel, member of the Board, and certain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affiliated entities (collectively, the “Foran Entities”) are working interest owners and/or overriding royalty interest owners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certain properties operated by the Company. As working interest owners, the Foran Entities are required to pay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proportionate share of all costs and are entitled to receive their proportionate share of revenues in the normal course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business. As overriding royalty interest owners, the Foran Entities are entitled to receive their proportionate share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revenues from the wells in which they own an interest in the normal course of business.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revenues, net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costs, received by the Foran Entities in their capacity as working interest owners or overriding royalty interest owners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$10.6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(the “Related Net Revenue Payments”). The Related Net Revenue Payments represent less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than 1% of our total third-party net revenue payments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our capacity as operator, we incur drilling and operating costs that are billed to our partners based on their respective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working interests.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joint interest billings to the Foran Entities attributable to their share of costs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(the “Related Joint Interest Billings”). The Related Joint Interest Billings represent less than 1%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total joint interest billings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As a result of this ownership by the Foran Entities, from time to time, we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 in a net receivable or net payable position with certain of the Foran Entities. We do not consider any net receivables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from the Foran Entities to be uncollectible.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reviewed the terms of the working interests and/or overriding royalty interests of the Foran Entities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potential conflicts of interest under the Company's Related Person Transaction Policy (the "Related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 Policy"), and, after being fully informed as to Mr. Foran’s and Ms. Appel's relationships and interests in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transactions and all other material facts related to the Related Net Revenue Payments and Related Joint Interest Billings,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that such transactions and the Related Net Revenue Payments and Related Joint Interest Billings were fair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and recommended such transactions and the Related Net Revenue Payments and Related Joint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Billings to the full Board for approval and ratification. The Board subsequently approved and ratified the transactions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Related Net Revenue Payments and Related Joint Interest Billings.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Greyhound Joint Venture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6" name="Image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6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5" w:name="i-96"/>
      <w:bookmarkEnd w:id="95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has entered into a joint venture, Greyhound, with Spearpoint to generate value through a well development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program in our Twin Lakes asset area. An adult child of Mr. Foran and the sibling of Ms. Appel is the founder of Spearpoint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serves as the chief executive officer and chairman of the board of directors of Spearpoint. Mr. Foran’s child has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Bachelor of Arts degree in Economics from Princeton University, a Master of Science degree in Petroleum Engineering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Texas A&amp;M University and a Master of Business Administration degree from Rice University. Mr. Foran’s child worked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a major oil and gas company as a petroleum petrophysicist. Prior to attending Texas A&amp;M, Mr. Foran’s child served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United States Marine Corp, including two tours of duty overseas, and has continued to serve in United States Marine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 Reserve, recently achieving the rank of Major. Mr. Foran’s child may perform shared services to Greyhound,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which Greyhound would reimburse Spearpoint. In addition, Ms. Appel holds an ownership interest in Spearpoint.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2025, the Company made capital contributions to Greyhound of approximately $18.5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 (the “Capital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Contributions”) and provided approximately $0.7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 of shared services to Greyhound in 2025, and Spearpoint made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capital contributions to Greyhound of approximately $17.8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million and provided approximately $0.3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 of shared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services to Greyhound in 2025. Neither the Company nor Spearpoint received any distributions from Greyhound in 2025,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although such distributions may be received by the Company and Spearpoint in the future.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Audit Committee reviewed the terms of the joint venture for potential conflicts of interest under the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 Policy, and, after being fully informed as to Mr. Foran’s, his adult child’s and Ms. Appel's relationships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 in such transactions and all other material facts related to Greyhound, determined that such transactions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fair to the Company and recommended such transactions to the full Board for approval and ratification.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subsequently approved and ratified the transactions.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Oilfield Equipment Purchase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7" name="Image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97" descr="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6" w:name="i-97"/>
      <w:bookmarkEnd w:id="96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son-in-law of Mr. Foran and brother-in-law of Ms. Appel serves as the General Manager of DCiii, LLC (“DC3”).  During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2025, the Company purchased certain oilfield equipment from DC3 for an aggregate amount of approximately $1.1 million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(the “Equipment Purchases”).  The Audit Committee reviewed the terms of the Equipment Purchases for potential conflicts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interest under the Related Person Transaction Policy and, after being fully informed as to Mr. Foran’s, his son-in-law’s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Ms. Appel’s relationships and interests in such transactions and all other material facts related to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Purchases, determined that the Equipment Purchases were fair to the Company and recommended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 to the full Board for approval and ratification.  The Board subsequently approved and ratified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Purchases.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Certain Employment Relationships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8" name="Image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98" descr="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7" w:name="i-98"/>
      <w:bookmarkEnd w:id="97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 adult child of Mr. Foran and a sibling of Ms. Appel has been an employee of the Company since 2015 and 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is expected to be compensated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between $120,000 and $500,000. Mr. Foran’s child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a Bachelor of Science degree in Human Resource Development and a Master of Science degree in Human Resource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Management, both from Texas A&amp;M University. She has more than 14 years of industry experience, including with another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publicly traded exploration and production company. The Audit Committee reviewed the terms of the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arrangement for potential conflicts of interest under the Related Person Transaction Policy and, after being fully informed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to the employment arrangement and historical and anticipated compensation of Mr. Foran’s child, and all other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facts related to the relationship, determined that the employment arrangement was fair to the Company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recommended the employment arrangement to the full Board for approval and ratification. The Board subsequently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approved and ratified such employment arrangement.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Indemnification Agreements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9" name="Image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99" descr="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8" w:name="i-99"/>
      <w:bookmarkEnd w:id="98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entered into indemnification agreements with each of our directors and executive officers and expect to do so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future for any new directors and executive officers. The indemnification agreements provide the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 with contractual rights to indemnification, expense advancement and reimbursement to the fullest extent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permitted by applicable law.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Procedures for Approval of Related Person Transactions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0" name="Image1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0" descr="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9" w:name="i-100"/>
      <w:bookmarkEnd w:id="99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Related Person Transaction Policy in effect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 “Related Person Transaction”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defined as a transaction (including any financial transaction, arrangement or relationship (including any indebtedness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guarantee of indebtedness)), or series of related transactions, or any material amendment to any such transaction,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a Related Person (as defined below) has or will have a direct or indirect material interest and in which we are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participant, other than: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involving compensation of directors that is required to be reported in our proxy statement under Item 402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SEC’s compensation disclosure requirements (“Item 402”);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employment by us of an executive officer if: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related compensation is required to be reported in our proxy statement under Item 402; or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executive officer is not an “immediate family member” of another executive officer or director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Company, the related compensation would be reported in our proxy statement under Item 402 if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officer was a “named executive officer” and the Compensation Committee approved (or recommended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approve) such compensation;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transaction with a Related Person involving less than $120,000;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the interest of the Related Person arises solely from the ownership of a class of our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 and all holders of that class receive the same benefit on a pro rata basis;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a Related Person has an indirect interest solely as a result of being (a) a director or, together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all other Related Persons, a less than 10% beneficial owner of an equity interest in another entity, or both, or (b)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 in a partnership in which the Related Person, together with all other Related Persons, has an interest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less than 10%;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the rates or charges involved therein are determined by competitive bids, or a transaction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involves the rendering of services as a common or contract carrier, or public utility, at rates or charges fixed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conformity with law or governmental authority;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transaction with another company at which a Related Person’s only relationship is as an employee (other than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officer), if the aggregate amount involved does not exceed the greater of $1,000,000, or 2% of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company’s total annual revenues;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charitable contribution, grant or endowment by us to a charitable organization, foundation or university at which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Person’s only relationship is as an employee (other than an executive officer), if the aggregate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involved does not exceed the lesser of $1,000,000, or 2% of the charitable organization’s total annual receipts;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transaction with another publicly traded company where the Related Person’s interest arises solely from beneficial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ownership of more than 5% of our Common Stock and ownership of a non-controlling interest in the other publicly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traded company;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reimbursement of business expenses incurred by a director, officer or employee of the Company in the performance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his or her duties and approved for reimbursement by the Company in accordance with the Company’s customary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 and practices;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indemnification and advancement of expenses made pursuant to the Certificate of Formation or the Bylaws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pursuant to any agreement.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Person” means: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person who is, or at any time since the beginning of the Company’s last completed fiscal year was, 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officers or one of our directors or nominees for director;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person (including any entity or group) who is known by us to be the beneficial owner of more than 5%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immediate family member of any of the foregoing persons, which means any child, stepchild, parent,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stepparent, spouse, sibling, mother-in-law, father-in-law, son-in-law, daughter-in-law, brother-in-law, sister-in-law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person residing (other than a tenant or employee) in the home of a director, nominee for director,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a beneficial owner of more than 5% of our Common Stock;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entity that is owned or controlled by any of the foregoing persons or in which any of the foregoing persons is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 partner or executive officer or in which such person, together with all other of the foregoing persons, owns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10% or more of the equity interests thereof.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Related Person Transaction Policy, the Audit Committee must review all material facts of each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 Transaction and recommend either approval or disapproval of the Related Person Transaction to the full Board,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subject to certain limited exceptions. In determining whether to recommend approval or disapproval of the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Transaction, the Audit Committee must, after reviewing all material facts of the Related Person Transaction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Person’s relationship and interest, determine whether the Related Person Transaction is fair to the Company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in, or not consistent with, the interests of the Company and its shareholders. If a Related Person Transaction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ongoing, the Audit Committee, on at least an annual basis, will review and assess ongoing relationships with the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to see that they are in compliance with Audit Committee guidelines. Further, the policy requires that all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 Transactions be disclosed in our filings with the SEC and/or our website in accordance with applicable laws, rules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regulations.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 xml:space="preserve">SECURITY OWNERSHIP OF CERTAIN BENEFICIAL OWNERS AND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MANAGEMENT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the beneficial ownership of our Common Stock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(i) each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beneficially owning more than 5% of the outstanding shares of our Common Stock, (ii) each director and nominee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 of the Company, (iii) each named executive officer of the Company listed in the Summary Compensation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(iv) all of our directors, nominees and executive officers as a group. Except pursuant to applicable community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property laws and except as otherwise indicated, each shareholder possesses sole voting and investment power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its, his or her shares. The business address of each of our directors and executive officers is c/o Matador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Resources Company,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 applicable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ownership is based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124,200,880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our Common Stock issued and outstanding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plus, on an individual basis, the right of that individual to (i) obtain Common Stock upon exercise of stock options or (ii)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obtain Common Stock upon the vesting or delivery of RSUs, in each case within 60 days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is based on Form 3s, Form 4s, Form 5s, Schedule 13Ds, Schedule 13Gs and Schedule 13G/As filed through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10"/>
        <w:gridCol w:w="2685"/>
        <w:gridCol w:w="1610"/>
      </w:tblGrid>
      <w:tr>
        <w:trPr/>
        <w:tc>
          <w:tcPr>
            <w:tcW w:w="5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1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268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Amount and Nature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Ownership of Common Stock</w:t>
            </w:r>
          </w:p>
        </w:tc>
        <w:tc>
          <w:tcPr>
            <w:tcW w:w="161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Percent of Class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Directors, Nominees and Named Executive Officers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Joseph Wm. Foran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5,450,980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4.4%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Shelley F. Appel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1,747,442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1.4%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Reynald A. Baribault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145,725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R. Gaines Baty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73,396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William M. Byerley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55,811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Monika U. Ehrman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41,463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Bryan A. Erman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85,216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Paul W. Harvey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44,421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229,650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William D. Lambert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10,650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Robert T. Macalik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143,796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Timothy E. Parker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89,869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Van H. Singleton, II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(12)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298,879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Kenneth L. Stewart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(13)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90,505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Susan M. Ward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(14)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14,923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Brian J. Willey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(15)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97,861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All Directors, Nominees and Executive Officers as a Group (19 persons)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(16)</w:t>
            </w:r>
          </w:p>
        </w:tc>
        <w:tc>
          <w:tcPr>
            <w:tcW w:w="268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7,283,792</w:t>
            </w:r>
          </w:p>
        </w:tc>
        <w:tc>
          <w:tcPr>
            <w:tcW w:w="161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5.9%</w:t>
            </w:r>
          </w:p>
        </w:tc>
      </w:tr>
      <w:tr>
        <w:trPr/>
        <w:tc>
          <w:tcPr>
            <w:tcW w:w="5910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5% Owners</w:t>
            </w:r>
          </w:p>
        </w:tc>
        <w:tc>
          <w:tcPr>
            <w:tcW w:w="26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0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BlackRock, Inc.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(18)</w:t>
            </w:r>
          </w:p>
        </w:tc>
        <w:tc>
          <w:tcPr>
            <w:tcW w:w="2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10,511,588</w:t>
            </w:r>
          </w:p>
        </w:tc>
        <w:tc>
          <w:tcPr>
            <w:tcW w:w="16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8.5%</w:t>
            </w:r>
          </w:p>
        </w:tc>
      </w:tr>
      <w:tr>
        <w:trPr/>
        <w:tc>
          <w:tcPr>
            <w:tcW w:w="591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Dimensional Fund Advisors LP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(19)</w:t>
            </w:r>
          </w:p>
        </w:tc>
        <w:tc>
          <w:tcPr>
            <w:tcW w:w="26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6,411,520</w:t>
            </w:r>
          </w:p>
        </w:tc>
        <w:tc>
          <w:tcPr>
            <w:tcW w:w="161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5.2%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*Less than one percent (1%)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(i) 1,105,913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Sage Resources, Ltd., a limited partnership owned by the Foran family,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including Mr. Foran; (ii) 1,137,182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record, collectively, by the LRF 2011 Non-GST Trust, WJF 2011 Non-GST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Trust, JNF 2011 Non-GST Trust, SIF 2011 Non-GST Trust and MCF 2011 Non-GST Trust (collectively, the “2011 Non-GST Trusts”), for which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trusts Mr. Foran and his spouse, as settlors of each of the 2011 Non-GST Trusts, retain the power of substitution with respect to the property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2011 Non-GST Trusts; (iii) 35,123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2024-2 GRAT and the NNF 2024-2 GRAT,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which Mr. Foran is the trustee and over which Mr. Foran has sole voting and investment power; (iv) 46,787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record by each of the JWF 2025-1 GRAT and the NNF 2025-1 GRAT, for which Mr. Foran is the trustee and over which Mr. Foran has sole voting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investment power; (v) 92,009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2025-2 GRAT and the NNF 2025-2 GRAT,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which Mr. Foran is the trustee and over which Mr. Foran has sole voting and investment power; (vi) 499,032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record by the Foran 2012 Security Trust, for which Mr. Foran is the trustee and over which Mr. Foran has sole voting and investment power; (vii)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534,381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Foran 2012 Savings Trust, for which Mr. Foran’s spouse is a trustee; (viii) 238,200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2026-1 GRAT and the NNF 2026-1 GRAT, for which Mr. Foran is the trustee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over which Mr. Foran has sole voting and investment power; and (ix) 1,347,912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record, collectively, by the LRF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2020 Non-GST Trust, WJF 2020 Non-GST Trust, SIF 2020 Non-GST Trust and MCF 2020 Non-GST Trust (collectively, the “2020 Non-GST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Trusts”), for which trusts Mr. Foran and his spouse, as settlors of each of the 2020 Non-GST Trusts, retain the power of substitution with respect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to the property of the 2020 Non-GST Trusts.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(i) 1,105,913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Sage Resources, Ltd., a limited partnership owned by the Foran family,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including Ms. Appel; (ii) 227,416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SIF 2011 Non-GST Trust; (iii) 336,978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held of record by the SIF 2020 Non-GST Trust; (iv) 5,084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the Individual Retirement Account of Ms.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Appel; (v) 3,350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Ms. Appel; (vi) 58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Health Savings Account of Ms. Appel’s spouse; and (vii) 4,079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Ms. Appel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6,915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Baribault. Also includes 116,118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held of record by the Reynald A. Baribault Maritalized Revocable Living Trust and 7,818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by the Sally K. Baribault Maritalized Revocable Living Trust, for which trusts both Mr. Baribault and his spouse are trustees and share voting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investment power. Also includes 12,341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Baribault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23,578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Baty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23,578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issuable to Mr. Byerley upon the vesting and delivery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4,079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issuable to Ms. Ehrman upon the vesting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(7)Includes 4,250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Mr. Erman and 2,400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by the Individual Retirement Account of Mr. Erman.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(8)Includes 8,500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Harvey, 3,000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record by Wilson Peak Limo, LLC, a limited liability company owned by Mr. Harvey and his spouse and over which Mr. Harvey and his spouse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 voting and investment authority, and 300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Mr. Harvey's son. Also includes 4,079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 Stock issuable to Mr. Harvey upon the vesting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(9)Includes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650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shares of Common Stock held of record by the Individual Retirement Account of Mr. Lambert. Also includes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restricted stock. Pursuant to the terms of Mr. Lambert's restricted stock grants, Mr. Lambert has the right to vote such shares but may only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dispose of such shares to the extent they have vested. Information based solely on a Form 4 filed with the SEC on September 15, 2025. Mr.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Lambert departed the Company in September 2025, at which time he was no longer an executive officer of the Company.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(10)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Includes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35,039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the Individual Retirement Account of Mr. Macalik. Also includes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3,334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restricted stock.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Pursuant to the terms of Mr. Macalik's restricted stock grants, Mr. Macalik has the right to vote such shares but may only dispose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such shares to the extent they have vested. Mr. Macalik ceased serving as Executive Vice President and Chief Financial Officer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Company on April 21, 2026, at which time he was no longer an executive officer of the Company.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4,079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Parker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2,505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Mr. Singleton.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16,611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Stewart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4,079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Ms. Ward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3,760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Willey and 2,950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held of record by the 401(k) account of Mr. Willey. Also includes 2,667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restricted stock. Pursuant to the terms of Mr. Willey's restricted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stock grants, Mr. Willey has the right to vote such shares but may only dispose of such shares to the extent they have vested.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22,669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restricted stock held by our executive officers. Pursuant to the terms of such restricted stock grants, the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officers have the right to vote such shares but may only dispose of such shares to the extent they have vested. Also includes 96,503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issuable to directors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Information based solely on a Schedule 13G/A filed with the SEC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November 12, 2024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. The Schedule 13G/A reports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BlackRock, Inc.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(“BlackRock”) beneficially owns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10,511,588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Stock, has sole voting power with respect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10,236,625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and has sole dispositive power with respect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10,511,588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Stock. According to the Schedule 13G/A, BlackRock’s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address is 50 Hudson Yards, New York, NY 10001.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(18)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Information based solely on a Schedule 13G filed with the SEC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October 9,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. The Schedule 13G reports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Dimensional Fund Advisors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LP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(“Dimensional”) beneficially owns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6,411,520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Stock, has sole voting power with respect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6,282,973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and has sole dispositive power with respect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6,411,520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Stock. According to the Schedule 13G, Dimensional’s address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is 6300 Bee Cave Road, Building One, Austin, TX 78746.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ADDITIONAL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Shareholder Proposals for the 2027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Proxy Statement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1" name="Image1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101" descr="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0" w:name="i-101"/>
      <w:bookmarkEnd w:id="100"/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shareholder proposals to be included in the Company’s proxy statement and form of proxy relating to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Meeting, such proposals must be received by the Company at its offices in Dallas, Texas, addressed to the Corporate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Secretary of the Company, no later 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the Company changes the date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by more than 30 days from the anniversary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shareholder proposals must be received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reasonable time before the Company begins to print and mail the proxy materials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in order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considered for inclusion in the Company’s proxy statement. Upon timely receipt of any such proposal,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determine whether or not to include such proposal in the proxy statement and proxy in accordance with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regulations and provisions governing the solicitation of proxies. In addition, to comply with the universal proxy rules,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who intend to solicit proxies in support of director nominees other than the Company’s nominees must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 notice to the Company that sets forth the information required by Rule 14a-19 under the Exchange Act, no later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12, 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Nominations or Other Business for Presentation at the 2027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Annual Meeting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2" name="Image1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2" descr="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1" w:name="i-102"/>
      <w:bookmarkEnd w:id="10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Alternatively, shareholders intending to place in nomination persons for election as directors at an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shareholders or to introduce an item of business at an annual meeting of shareholders without having the nomination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proposal included in the Company’s proxy statement must comply with certain procedures set forth in the Bylaws.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procedures provide, generally, among other things, that shareholders desiring to place in nomination persons for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directors, and/or bring a proper subject of business before an annual meeting, must do so by a written notice timely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received (on or before March 15, 2027, but no earlier than February 13, 2027, for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Meeting)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Corporate Secretary of the Company containing the name and address of the shareholder and the number of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Common Stock beneficially owned by the shareholder. If the notice relates to a nomination for director, 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must also set forth the name, age, business and residence addresses of the candidate, the candidate’s résumé or a listing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his or her qualifications to be a director of the Company, the person’s written consent to be a director if selected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Nominating and Corporate Governance Committee, nominated by the Board and elected by the shareholders and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information that would be required to be disclosed in solicitations of proxies for the election of directors.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may require any proposed nominee to furnish such other information as may reasonably be required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to determine the eligibility of such proposed nominee to serve as director. Notice of an item of business shall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 a brief description of the proposed business and any material interest of the shareholder in such business.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Chairman of the meeting may refuse to allow the transaction of any business not presented, or to acknowledge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nomination of any person not made, in compliance with the foregoing procedures. Copies of the Bylaws are available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Corporate Secretary of the Company and on the Company’s website at www.matadorresources.com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heading “Investor Relations—Corporate 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See “Corporate Governance—Board Committees—Nominating and Corporate Governance Committee” for the process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shareholders to follow to suggest a director candidate to the Nominating and Corporate Governance Committee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nomination by the 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Annual Report on Form 10-K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3" name="Image1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103" descr="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2" w:name="i-103"/>
      <w:bookmarkEnd w:id="102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Annual Report on Form 10-K for the fiscal year ended December 31, 2025, as filed with the SEC,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financial statements, is being made available to our shareholders concurrently with this Proxy Statement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www.proxyvote.com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does not form part of the proxy solicitation material. Shareholders may obtain without charge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another copy of the Annual Report on Form 10-K, excluding certain exhibits, by writing to Investor Relations, Matador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Resources Company, One Lincoln Centre, 5400 LBJ Freeway, Suite 1500, Dallas, Texas 75240.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OTHER BUSINESS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of the Company is not aware of other business to be presented for action at the Annual Meeting; however, if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matters are presented for action, it is the intention of the persons named in the accompanying form of proxy to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accordance with their judgment on such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By Order of the Board of Directors,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57375" cy="333375"/>
            <wp:effectExtent l="0" t="0" r="0" b="0"/>
            <wp:docPr id="104" name="Image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04" descr="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3" w:name="i-104"/>
      <w:bookmarkEnd w:id="10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Joseph Wm. Foran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Chairman and Chief Executive Officer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April 29, 2026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ANNEX A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ANNEX A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Non-GAAP Financial Measures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5" name="Image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105" descr="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4" w:name="i-105"/>
      <w:bookmarkEnd w:id="104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define, on a consolidated basis and for San Mateo, Adjusted EBITDA as earnings before interest expense,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taxes, depletion, depreciation and amortization, accretion of asset retirement obligations, property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impairments, unrealized derivative gains and losses, non-recurring transaction costs for certain acquisitions,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non-cash items and non-cash stock-based compensation expense and net gain or loss on asset sales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impairment. Adjusted EBITDA is not a measure of net income (loss) or net cash provided by operating activities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by GAAP. Adjusted EBITDA is a supplemental non-GAAP financial measure that is used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and external users of our consolidated financial statements, such as industry analysts, investors,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lenders and rating agencies. “GAAP” means generally accepted accounting principles in the United States of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America.</w:t>
      </w:r>
      <w:r>
        <w:rPr>
          <w:caps w:val="false"/>
          <w:smallCaps w:val="fals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references to Matador’s Adjusted EBITDA are those values attributable to Matador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shareholders after giving effect to Adjusted EBITDA attributable to third-party non-controlling interests,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in San Mateo.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believes Adjusted EBITDA is necessary because it allows us to evaluate our operating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compare the results of operations from period to period without regard to our financing methods or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structure. We exclude the items listed above from net income (loss) in calculating Adjusted EBITDA because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amounts can vary substantially from company to company within our industry depending upon accounting methods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book values of assets, capital structures and the method by which certain assets were acquired.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EBITDA should not be considered an alternative to, or more meaningful than, net income (loss) or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 as determined in accordance with GAAP or as an indicator of our operating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or liquidity. Certain items excluded from Adjusted EBITDA are significant components of understanding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assessing a company’s financial performance, such as a company’s cost of capital and tax structure.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EBITDA may not be comparable to similarly titled measures of another company because all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may not calculate Adjusted EBITDA in the same manner.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our calculation of Adjusted EBITDA and the reconciliation of Adjusted EBITDA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GAAP financial measures of net income and net cash provided by operating activities, respectively: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Adjusted EBITDA—Matador Resources Company</w:t>
      </w:r>
    </w:p>
    <w:tbl>
      <w:tblPr>
        <w:tblW w:w="9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16"/>
        <w:gridCol w:w="1966"/>
      </w:tblGrid>
      <w:tr>
        <w:trPr/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7816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Income: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Matador Resources Company shareholders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$759,221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non-controlling interest in subsidiaries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101,548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966" w:type="dxa"/>
            <w:tcBorders>
              <w:top w:val="single" w:sz="8" w:space="0" w:color="000000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860,769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208,520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income tax provision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172,675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Depletion, depreciation and amortization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1,195,358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Accretion of asset retirement obligations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7,846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gain on derivatives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(18,084)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stock-based compensation expense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18,327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loss on asset sales and impairment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589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Non-recurring income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(7,338)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Adjusted EBITDA</w:t>
            </w:r>
          </w:p>
        </w:tc>
        <w:tc>
          <w:tcPr>
            <w:tcW w:w="19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2,438,662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non-controlling interest in subsidiaries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(144,111)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Matador Resources Company shareholders</w:t>
            </w:r>
          </w:p>
        </w:tc>
        <w:tc>
          <w:tcPr>
            <w:tcW w:w="19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$2,294,551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19"/>
        <w:gridCol w:w="1886"/>
      </w:tblGrid>
      <w:tr>
        <w:trPr/>
        <w:tc>
          <w:tcPr>
            <w:tcW w:w="8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8319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Cash Provided by Operating Activities: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$2,425,015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(176,189)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 of non-cash portion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193,756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income tax provision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7,088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loss on asset sales and impairment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589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non-cash and non-recurring income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(11,597)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non-controlling interest in subsidiaries</w:t>
            </w:r>
          </w:p>
        </w:tc>
        <w:tc>
          <w:tcPr>
            <w:tcW w:w="1886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(144,111)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Matador Resources Company shareholders</w:t>
            </w:r>
          </w:p>
        </w:tc>
        <w:tc>
          <w:tcPr>
            <w:tcW w:w="188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$2,294,551</w:t>
            </w:r>
          </w:p>
        </w:tc>
      </w:tr>
      <w:tr>
        <w:trPr/>
        <w:tc>
          <w:tcPr>
            <w:tcW w:w="8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6" w:type="dxa"/>
            <w:tcBorders>
              <w:top w:val="doub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Adjusted EBITDA - San Mateo (100%)</w:t>
      </w:r>
    </w:p>
    <w:tbl>
      <w:tblPr>
        <w:tblW w:w="99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01"/>
        <w:gridCol w:w="1921"/>
        <w:gridCol w:w="109"/>
        <w:gridCol w:w="1966"/>
      </w:tblGrid>
      <w:tr>
        <w:trPr/>
        <w:tc>
          <w:tcPr>
            <w:tcW w:w="6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96" w:type="dxa"/>
            <w:gridSpan w:val="3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6001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2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  <w:tc>
          <w:tcPr>
            <w:tcW w:w="109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Income:</w:t>
            </w:r>
          </w:p>
        </w:tc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9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$207,242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$175,557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Depletion, depreciation and amortization</w:t>
            </w:r>
          </w:p>
        </w:tc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50,751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37,667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9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37,890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37,368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Accretion of asset retirement obligations</w:t>
            </w:r>
          </w:p>
        </w:tc>
        <w:tc>
          <w:tcPr>
            <w:tcW w:w="1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405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loss on impairment</w:t>
            </w:r>
          </w:p>
        </w:tc>
        <w:tc>
          <w:tcPr>
            <w:tcW w:w="19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372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Non-recurring (income) expense</w:t>
            </w:r>
          </w:p>
        </w:tc>
        <w:tc>
          <w:tcPr>
            <w:tcW w:w="19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(2,635)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2,160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1921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$294,104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$253,157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772"/>
        <w:gridCol w:w="1639"/>
        <w:gridCol w:w="109"/>
        <w:gridCol w:w="1685"/>
      </w:tblGrid>
      <w:tr>
        <w:trPr/>
        <w:tc>
          <w:tcPr>
            <w:tcW w:w="67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772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3" w:type="dxa"/>
            <w:gridSpan w:val="3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6772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39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  <w:tc>
          <w:tcPr>
            <w:tcW w:w="109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67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63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7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Cash Provided by Operating Activities:</w:t>
            </w:r>
          </w:p>
        </w:tc>
        <w:tc>
          <w:tcPr>
            <w:tcW w:w="16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7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63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$248,193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$193,030</w:t>
            </w:r>
          </w:p>
        </w:tc>
      </w:tr>
      <w:tr>
        <w:trPr/>
        <w:tc>
          <w:tcPr>
            <w:tcW w:w="67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6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10,821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21,825</w:t>
            </w:r>
          </w:p>
        </w:tc>
      </w:tr>
      <w:tr>
        <w:trPr/>
        <w:tc>
          <w:tcPr>
            <w:tcW w:w="67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 of non-cash portion</w:t>
            </w:r>
          </w:p>
        </w:tc>
        <w:tc>
          <w:tcPr>
            <w:tcW w:w="163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35,948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36,142</w:t>
            </w:r>
          </w:p>
        </w:tc>
      </w:tr>
      <w:tr>
        <w:trPr/>
        <w:tc>
          <w:tcPr>
            <w:tcW w:w="67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non-cash and non-recurring (income) expense</w:t>
            </w:r>
          </w:p>
        </w:tc>
        <w:tc>
          <w:tcPr>
            <w:tcW w:w="163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(858)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2,160</w:t>
            </w:r>
          </w:p>
        </w:tc>
      </w:tr>
      <w:tr>
        <w:trPr/>
        <w:tc>
          <w:tcPr>
            <w:tcW w:w="677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1639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$294,104</w:t>
            </w:r>
          </w:p>
        </w:tc>
        <w:tc>
          <w:tcPr>
            <w:tcW w:w="1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5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$253,157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 xml:space="preserve">ANNEX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Adjusted Free Cash Flow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free cash flow is a supplemental non-GAAP financial measure that is defined, on a consolidated basis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Company, as net cash provided by operating activities, adjusted for changes in working capital and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incentives that are not included as operating cash flows, less cash flows used for capital expenditures,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for changes in capital accruals. On a consolidated basis, these numbers are also adjusted for the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flows related to non-controlling interest in subsidiaries that represent cash flows not attributable to Matador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shareholders. Adjusted free cash flow should not be considered an alternative to, or more meaningful than,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 as determined in accordance with GAAP or an indicator of the Company’s liquidity.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free cash flow is used by the Company, securities analysts and investors as an indicator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ability to manage its operating cash flow, internally fund its D/C/E capital expenditures, pay dividends and service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incur additional debt, without regard to the timing of settlement of either operating assets and liabilities or accounts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payable related to capital expenditures. Additionally, this non-GAAP financial measure may be different than similar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measures used by other companies. The Company believes the presentation of adjusted free cash flow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useful information to investors, as it provides them an additional relevant comparison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performance, sources and uses of capital associated with its operations across periods and to the performance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peers. In addition, this non-GAAP financial measure reflects adjustments for items of cash flows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often excluded by securities analysts and other users of the Company’s financial statements in evaluating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cash spend.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table below reconciles adjusted free cash flow to its most directly comparable GAAP measure of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activities. All references to Matador’s adjusted free cash flow are those values attributable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 shareholders after giving effect to adjusted free cash flow attributable to third-party non-controlling interests,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in San Mateo.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2026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 w:val="false"/>
          <w:i/>
          <w:sz w:val="19"/>
        </w:rPr>
      </w:pPr>
      <w:r>
        <w:rPr>
          <w:rFonts w:ascii="Arial;sans-serif" w:hAnsi="Arial;sans-serif"/>
          <w:b w:val="false"/>
          <w:i/>
          <w:sz w:val="19"/>
        </w:rPr>
        <w:t xml:space="preserve">Adjusted Free Cash Flow—Matador Resources Company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98"/>
        <w:gridCol w:w="1907"/>
      </w:tblGrid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98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8298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$2,425,015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(176,189)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San Mateo discretionary cash flow attributable to non-controlling interest in subsidiaries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(126,916)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incentives received from Five Point</w:t>
            </w:r>
          </w:p>
        </w:tc>
        <w:tc>
          <w:tcPr>
            <w:tcW w:w="1907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13,000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discretionary cash flow</w:t>
            </w:r>
          </w:p>
        </w:tc>
        <w:tc>
          <w:tcPr>
            <w:tcW w:w="190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$2,134,910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Drilling, completion and equipping capital expenditures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1,542,253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Midstream capital expenditures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297,746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Expenditures for other property and equipment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4,246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capital accruals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(29,588)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San Mateo accrual-based capital expenditures related to non-controlling interest in subsidiaries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907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(116,703)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18"/>
              </w:rPr>
              <w:t>Total accrual-based capital expenditures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90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1,697,954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free cash flow</w:t>
            </w:r>
          </w:p>
        </w:tc>
        <w:tc>
          <w:tcPr>
            <w:tcW w:w="1907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$436,956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Represents Five Point’s 49% interest in San Mateo discretionary cash flow.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(2)  Represents Five Point’s 49% interest in accrual-based San Mateo capital expenditures.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(3)  Represents drilling, completion and equipping costs, Matador’s share of San Mateo capital expenditures plus 100% of other midstream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capital expenditures not associated with San Mateo.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81"/>
        <w:gridCol w:w="5356"/>
      </w:tblGrid>
      <w:tr>
        <w:trPr/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0" cy="809625"/>
                  <wp:effectExtent l="0" t="0" r="0" b="0"/>
                  <wp:docPr id="106" name="Image1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5" w:name="i-106"/>
            <w:bookmarkEnd w:id="105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MATADOR RESOURCES COMPANY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5400 LBJ FREEWAY, SUITE 1500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DALLAS, TEXAS 75240</w:t>
            </w:r>
          </w:p>
        </w:tc>
        <w:tc>
          <w:tcPr>
            <w:tcW w:w="53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43125" cy="533400"/>
                  <wp:effectExtent l="0" t="0" r="0" b="0"/>
                  <wp:docPr id="107" name="Image1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1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6" w:name="i-107"/>
            <w:bookmarkEnd w:id="106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BY INTERNET -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color w:val="14212C"/>
                <w:sz w:val="14"/>
                <w:u w:val="single"/>
              </w:rPr>
              <w:t>www.proxyvote.com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or scan the QR Barcode above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Use the Internet to transmit your voting instructions and for electronic delivery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information up until 11:59 p.m. Eastern Time the day before the meeting date.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Have your proxy card in hand when you access the web site and follow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instructions to obtain your records and to create an electronic voting instruction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form.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ELECTRONIC DELIVERY OF FUTURE PROXY MATERIALS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If you would like to reduce the costs incurred by our company in mailing proxy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materials, you can consent to receiving all future proxy statements, proxy cards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and annual reports electronically via e-mail or the Internet. To sign up for electronic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delivery, please follow the instructions above to vote using the Internet and, when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prompted, indicate that you agree to receive or access proxy materials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electronically in future years.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BY PHONE - 1-800-690-6093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Use any touch-tone telephone to transmit your voting instructions up until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11:59 p.m. Eastern Time the day before the meeting date. Have your proxy card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hand when you call and then follow the instructions.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VOTE BY MAIL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Mark, sign and date your proxy card and return it in the postage-paid envelope we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have provided or return it to Vote Processing, c/o Broadridge,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51 Mercedes Way, Edgewood, NY 11717.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4212C"/>
          <w:sz w:val="1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4212C"/>
          <w:sz w:val="12"/>
          <w:u w:val="none"/>
          <w:effect w:val="none"/>
        </w:rPr>
        <w:t>TO VOTE, MARK BLOCKS BELOW IN BLUE OR BLACK INK AS FOLLOWS:</w:t>
      </w:r>
    </w:p>
    <w:tbl>
      <w:tblPr>
        <w:tblW w:w="78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68"/>
        <w:gridCol w:w="496"/>
        <w:gridCol w:w="496"/>
        <w:gridCol w:w="2686"/>
      </w:tblGrid>
      <w:tr>
        <w:trPr/>
        <w:tc>
          <w:tcPr>
            <w:tcW w:w="4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6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V34260-P07962</w:t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KEEP THIS PORTION FOR YOUR RECORDS</w:t>
            </w:r>
          </w:p>
        </w:tc>
      </w:tr>
      <w:tr>
        <w:trPr/>
        <w:tc>
          <w:tcPr>
            <w:tcW w:w="4168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0" w:type="dxa"/>
            <w:gridSpan w:val="3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THIS PROXY CARD IS VALID ONLY WHEN SIGNED AND DATED.</w:t>
            </w:r>
          </w:p>
        </w:tc>
        <w:tc>
          <w:tcPr>
            <w:tcW w:w="2686" w:type="dxa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DETACH AND RETURN THIS PORTION ONLY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89"/>
        <w:gridCol w:w="394"/>
        <w:gridCol w:w="3056"/>
        <w:gridCol w:w="152"/>
        <w:gridCol w:w="369"/>
        <w:gridCol w:w="685"/>
        <w:gridCol w:w="685"/>
        <w:gridCol w:w="126"/>
        <w:gridCol w:w="941"/>
        <w:gridCol w:w="914"/>
        <w:gridCol w:w="766"/>
        <w:gridCol w:w="774"/>
        <w:gridCol w:w="771"/>
        <w:gridCol w:w="15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8" w:space="0" w:color="14212C"/>
              <w:left w:val="single" w:sz="8" w:space="0" w:color="14212C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14212C"/>
              <w:bottom w:val="single" w:sz="8" w:space="0" w:color="14212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top w:val="single" w:sz="8" w:space="0" w:color="14212C"/>
              <w:right w:val="single" w:sz="8" w:space="0" w:color="14212C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63" w:type="dxa"/>
            <w:gridSpan w:val="4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MATADOR RESOURCES COMPANY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14212C"/>
              <w:right w:val="single" w:sz="8" w:space="0" w:color="14212C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30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Board of Directors recommends you vote FOR the following: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000000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1.</w:t>
            </w:r>
          </w:p>
        </w:tc>
        <w:tc>
          <w:tcPr>
            <w:tcW w:w="34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Election of Director Nominees: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1a.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Joseph Wm. Foran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1b.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Reynald A. Baribault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1c.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Timothy E. Parker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Board of Directors recommends you vote FOR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following proposal:</w:t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2.</w:t>
            </w:r>
          </w:p>
        </w:tc>
        <w:tc>
          <w:tcPr>
            <w:tcW w:w="3208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Advisory vote to approve the compensation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Company's named executive officers</w:t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8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8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Board of Directors recommends you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FOR the following proposal: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NOTE: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proxies are authorized to vote in their discretion on such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other business as may properly come before the meeting or any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adjournment thereof.</w:t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3.</w:t>
            </w:r>
          </w:p>
        </w:tc>
        <w:tc>
          <w:tcPr>
            <w:tcW w:w="305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Ratification of the appointment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KPMG LLP as the Company's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independent registered public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accounting firm for the year ending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December 31, 2026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Yes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No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Please indicate if you plan to attend this meeting: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1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Please sign as your name(s) appear(s) hereon. When signing as attorney, executor, administrator, or other fiduciary, please give full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title as such. Joint owners should each sign personally. All holders must sign. If a corporation or partnership, please sign in full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corporate or partnership name by authorized officer.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  <w:right w:val="single" w:sz="4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0" w:type="dxa"/>
            <w:gridSpan w:val="2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left w:val="single" w:sz="4" w:space="0" w:color="14212C"/>
              <w:right w:val="single" w:sz="4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1" w:type="dxa"/>
            <w:gridSpan w:val="3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gridSpan w:val="2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4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Signature [PLEASE SIGN WITHIN BOX]</w:t>
            </w:r>
          </w:p>
        </w:tc>
        <w:tc>
          <w:tcPr>
            <w:tcW w:w="1370" w:type="dxa"/>
            <w:gridSpan w:val="2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1" w:type="dxa"/>
            <w:gridSpan w:val="3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Signature (Joint Owners)</w:t>
            </w:r>
          </w:p>
        </w:tc>
        <w:tc>
          <w:tcPr>
            <w:tcW w:w="1545" w:type="dxa"/>
            <w:gridSpan w:val="2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  <w:bottom w:val="single" w:sz="8" w:space="0" w:color="14212C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bottom w:val="single" w:sz="8" w:space="0" w:color="14212C"/>
              <w:right w:val="single" w:sz="8" w:space="0" w:color="14212C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4212C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4212C"/>
          <w:sz w:val="20"/>
          <w:u w:val="none"/>
          <w:effect w:val="none"/>
        </w:rPr>
        <w:t>Important Notice Regarding the Availability of Proxy Materials for the Annual Meeting: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The Annual Report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, Notice of Annual Meeting and Proxy Statement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available at www.proxyvote.com </w:t>
      </w:r>
    </w:p>
    <w:tbl>
      <w:tblPr>
        <w:tblW w:w="102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1"/>
      </w:tblGrid>
      <w:tr>
        <w:trPr/>
        <w:tc>
          <w:tcPr>
            <w:tcW w:w="10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1" w:type="dxa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V34261-P07962</w:t>
            </w:r>
          </w:p>
        </w:tc>
      </w:tr>
      <w:tr>
        <w:trPr/>
        <w:tc>
          <w:tcPr>
            <w:tcW w:w="1020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1" w:type="dxa"/>
            <w:tcBorders>
              <w:top w:val="single" w:sz="8" w:space="0" w:color="14212C"/>
              <w:left w:val="single" w:sz="8" w:space="0" w:color="14212C"/>
              <w:right w:val="single" w:sz="8" w:space="0" w:color="14212C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1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MATADOR RESOURCES COMPANY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 xml:space="preserve">Annual Meeting of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June 11, 2026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9:30 A.M.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 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This proxy is solicited by the Board of Directors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As an alternative to completing this form, you may enter your vote instruction by telephone at 1-800-690-6093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or via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internet at www.proxyvote.com. Have your proxy card in hand and follow the instructions.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The shareholder hereby appoints Joseph Wm. Foran and Timothy E. Parker, or either of them, as proxies, each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power to appoint his substitute, and hereby authorizes them to represent and to vote, as designated on the reverse side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this ballot, all of the shares of common stock of MATADOR RESOURCES COMPANY that the shareholder is entitled to vote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at the Annual Meeting of Shareholders to be held at 9:30 A.M.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CDT on June 11, 2026, at Hilton Dallas Lincoln Centre, 5410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LBJ Freeway, Dallas, Texas 75240, and any adjournment or postponement thereof. The shareholder hereby revokes 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proxy or proxies heretofore given to vote upon or act with respect to such shares of stock.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This proxy, when properly executed, will be voted in the manner directed herein. If no such direction is made, this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proxy will be voted in accordance with the Board of Directors' recommendations.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0"/>
                <w:u w:val="none"/>
                <w:effect w:val="none"/>
              </w:rPr>
              <w:t xml:space="preserve">Continued and to be signed on reverse side </w:t>
            </w:r>
          </w:p>
        </w:tc>
      </w:tr>
      <w:tr>
        <w:trPr/>
        <w:tc>
          <w:tcPr>
            <w:tcW w:w="10201" w:type="dxa"/>
            <w:tcBorders>
              <w:left w:val="single" w:sz="8" w:space="0" w:color="14212C"/>
              <w:bottom w:val="single" w:sz="8" w:space="0" w:color="14212C"/>
              <w:right w:val="single" w:sz="8" w:space="0" w:color="14212C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sans-serif">
    <w:altName w:val="Arial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3.jpeg"/><Relationship Id="rId9" Type="http://schemas.openxmlformats.org/officeDocument/2006/relationships/image" Target="media/image3.jpeg"/><Relationship Id="rId10" Type="http://schemas.openxmlformats.org/officeDocument/2006/relationships/image" Target="media/image3.jpeg"/><Relationship Id="rId11" Type="http://schemas.openxmlformats.org/officeDocument/2006/relationships/image" Target="media/image3.jpeg"/><Relationship Id="rId12" Type="http://schemas.openxmlformats.org/officeDocument/2006/relationships/image" Target="media/image3.jpeg"/><Relationship Id="rId13" Type="http://schemas.openxmlformats.org/officeDocument/2006/relationships/image" Target="media/image3.jpeg"/><Relationship Id="rId14" Type="http://schemas.openxmlformats.org/officeDocument/2006/relationships/image" Target="media/image3.jpeg"/><Relationship Id="rId15" Type="http://schemas.openxmlformats.org/officeDocument/2006/relationships/image" Target="media/image3.jpeg"/><Relationship Id="rId16" Type="http://schemas.openxmlformats.org/officeDocument/2006/relationships/image" Target="media/image3.jpeg"/><Relationship Id="rId17" Type="http://schemas.openxmlformats.org/officeDocument/2006/relationships/image" Target="media/image3.jpeg"/><Relationship Id="rId18" Type="http://schemas.openxmlformats.org/officeDocument/2006/relationships/image" Target="media/image3.jpeg"/><Relationship Id="rId19" Type="http://schemas.openxmlformats.org/officeDocument/2006/relationships/image" Target="media/image3.jpeg"/><Relationship Id="rId20" Type="http://schemas.openxmlformats.org/officeDocument/2006/relationships/image" Target="media/image3.jpeg"/><Relationship Id="rId21" Type="http://schemas.openxmlformats.org/officeDocument/2006/relationships/image" Target="media/image3.jpeg"/><Relationship Id="rId22" Type="http://schemas.openxmlformats.org/officeDocument/2006/relationships/image" Target="media/image3.jpeg"/><Relationship Id="rId23" Type="http://schemas.openxmlformats.org/officeDocument/2006/relationships/image" Target="media/image3.jpeg"/><Relationship Id="rId24" Type="http://schemas.openxmlformats.org/officeDocument/2006/relationships/image" Target="media/image3.jpeg"/><Relationship Id="rId25" Type="http://schemas.openxmlformats.org/officeDocument/2006/relationships/image" Target="media/image3.jpeg"/><Relationship Id="rId26" Type="http://schemas.openxmlformats.org/officeDocument/2006/relationships/image" Target="media/image3.jpeg"/><Relationship Id="rId27" Type="http://schemas.openxmlformats.org/officeDocument/2006/relationships/image" Target="media/image3.jpeg"/><Relationship Id="rId28" Type="http://schemas.openxmlformats.org/officeDocument/2006/relationships/image" Target="media/image3.jpeg"/><Relationship Id="rId29" Type="http://schemas.openxmlformats.org/officeDocument/2006/relationships/image" Target="media/image4.jpeg"/><Relationship Id="rId30" Type="http://schemas.openxmlformats.org/officeDocument/2006/relationships/image" Target="media/image5.jpeg"/><Relationship Id="rId31" Type="http://schemas.openxmlformats.org/officeDocument/2006/relationships/image" Target="media/image6.jpeg"/><Relationship Id="rId32" Type="http://schemas.openxmlformats.org/officeDocument/2006/relationships/image" Target="media/image3.jpeg"/><Relationship Id="rId33" Type="http://schemas.openxmlformats.org/officeDocument/2006/relationships/image" Target="media/image3.jpeg"/><Relationship Id="rId34" Type="http://schemas.openxmlformats.org/officeDocument/2006/relationships/image" Target="media/image3.jpeg"/><Relationship Id="rId35" Type="http://schemas.openxmlformats.org/officeDocument/2006/relationships/image" Target="media/image7.jpeg"/><Relationship Id="rId36" Type="http://schemas.openxmlformats.org/officeDocument/2006/relationships/image" Target="media/image8.jpeg"/><Relationship Id="rId37" Type="http://schemas.openxmlformats.org/officeDocument/2006/relationships/image" Target="media/image9.jpeg"/><Relationship Id="rId38" Type="http://schemas.openxmlformats.org/officeDocument/2006/relationships/image" Target="media/image10.jpeg"/><Relationship Id="rId39" Type="http://schemas.openxmlformats.org/officeDocument/2006/relationships/image" Target="media/image11.jpeg"/><Relationship Id="rId40" Type="http://schemas.openxmlformats.org/officeDocument/2006/relationships/image" Target="media/image12.jpeg"/><Relationship Id="rId41" Type="http://schemas.openxmlformats.org/officeDocument/2006/relationships/image" Target="media/image13.jpeg"/><Relationship Id="rId42" Type="http://schemas.openxmlformats.org/officeDocument/2006/relationships/image" Target="media/image3.jpeg"/><Relationship Id="rId43" Type="http://schemas.openxmlformats.org/officeDocument/2006/relationships/image" Target="media/image3.jpeg"/><Relationship Id="rId44" Type="http://schemas.openxmlformats.org/officeDocument/2006/relationships/image" Target="media/image3.jpeg"/><Relationship Id="rId45" Type="http://schemas.openxmlformats.org/officeDocument/2006/relationships/image" Target="media/image3.jpeg"/><Relationship Id="rId46" Type="http://schemas.openxmlformats.org/officeDocument/2006/relationships/image" Target="media/image3.jpeg"/><Relationship Id="rId47" Type="http://schemas.openxmlformats.org/officeDocument/2006/relationships/image" Target="media/image3.jpeg"/><Relationship Id="rId48" Type="http://schemas.openxmlformats.org/officeDocument/2006/relationships/image" Target="media/image14.gif"/><Relationship Id="rId49" Type="http://schemas.openxmlformats.org/officeDocument/2006/relationships/image" Target="media/image3.jpeg"/><Relationship Id="rId50" Type="http://schemas.openxmlformats.org/officeDocument/2006/relationships/image" Target="media/image15.gif"/><Relationship Id="rId51" Type="http://schemas.openxmlformats.org/officeDocument/2006/relationships/image" Target="media/image16.gif"/><Relationship Id="rId52" Type="http://schemas.openxmlformats.org/officeDocument/2006/relationships/image" Target="media/image17.gif"/><Relationship Id="rId53" Type="http://schemas.openxmlformats.org/officeDocument/2006/relationships/image" Target="media/image3.jpeg"/><Relationship Id="rId54" Type="http://schemas.openxmlformats.org/officeDocument/2006/relationships/image" Target="media/image3.jpeg"/><Relationship Id="rId55" Type="http://schemas.openxmlformats.org/officeDocument/2006/relationships/image" Target="media/image3.jpeg"/><Relationship Id="rId56" Type="http://schemas.openxmlformats.org/officeDocument/2006/relationships/image" Target="media/image3.jpeg"/><Relationship Id="rId57" Type="http://schemas.openxmlformats.org/officeDocument/2006/relationships/image" Target="media/image3.jpeg"/><Relationship Id="rId58" Type="http://schemas.openxmlformats.org/officeDocument/2006/relationships/image" Target="media/image3.jpeg"/><Relationship Id="rId59" Type="http://schemas.openxmlformats.org/officeDocument/2006/relationships/image" Target="media/image3.jpeg"/><Relationship Id="rId60" Type="http://schemas.openxmlformats.org/officeDocument/2006/relationships/image" Target="media/image3.jpeg"/><Relationship Id="rId61" Type="http://schemas.openxmlformats.org/officeDocument/2006/relationships/image" Target="media/image3.jpeg"/><Relationship Id="rId62" Type="http://schemas.openxmlformats.org/officeDocument/2006/relationships/image" Target="media/image1.jpeg"/><Relationship Id="rId63" Type="http://schemas.openxmlformats.org/officeDocument/2006/relationships/image" Target="media/image18.jpeg"/><Relationship Id="rId64" Type="http://schemas.openxmlformats.org/officeDocument/2006/relationships/image" Target="media/image19.jpeg"/><Relationship Id="rId65" Type="http://schemas.openxmlformats.org/officeDocument/2006/relationships/image" Target="media/image20.jpeg"/><Relationship Id="rId66" Type="http://schemas.openxmlformats.org/officeDocument/2006/relationships/image" Target="media/image3.jpeg"/><Relationship Id="rId67" Type="http://schemas.openxmlformats.org/officeDocument/2006/relationships/image" Target="media/image21.gif"/><Relationship Id="rId68" Type="http://schemas.openxmlformats.org/officeDocument/2006/relationships/image" Target="media/image22.gif"/><Relationship Id="rId69" Type="http://schemas.openxmlformats.org/officeDocument/2006/relationships/image" Target="media/image23.gif"/><Relationship Id="rId70" Type="http://schemas.openxmlformats.org/officeDocument/2006/relationships/image" Target="media/image24.gif"/><Relationship Id="rId71" Type="http://schemas.openxmlformats.org/officeDocument/2006/relationships/image" Target="media/image25.gif"/><Relationship Id="rId72" Type="http://schemas.openxmlformats.org/officeDocument/2006/relationships/image" Target="media/image26.gif"/><Relationship Id="rId73" Type="http://schemas.openxmlformats.org/officeDocument/2006/relationships/image" Target="media/image27.jpeg"/><Relationship Id="rId74" Type="http://schemas.openxmlformats.org/officeDocument/2006/relationships/image" Target="media/image28.gif"/><Relationship Id="rId75" Type="http://schemas.openxmlformats.org/officeDocument/2006/relationships/image" Target="media/image29.gif"/><Relationship Id="rId76" Type="http://schemas.openxmlformats.org/officeDocument/2006/relationships/image" Target="media/image30.gif"/><Relationship Id="rId77" Type="http://schemas.openxmlformats.org/officeDocument/2006/relationships/image" Target="media/image30.gif"/><Relationship Id="rId78" Type="http://schemas.openxmlformats.org/officeDocument/2006/relationships/image" Target="media/image25.gif"/><Relationship Id="rId79" Type="http://schemas.openxmlformats.org/officeDocument/2006/relationships/image" Target="media/image31.gif"/><Relationship Id="rId80" Type="http://schemas.openxmlformats.org/officeDocument/2006/relationships/image" Target="media/image32.jpeg"/><Relationship Id="rId81" Type="http://schemas.openxmlformats.org/officeDocument/2006/relationships/image" Target="media/image33.gif"/><Relationship Id="rId82" Type="http://schemas.openxmlformats.org/officeDocument/2006/relationships/image" Target="media/image34.gif"/><Relationship Id="rId83" Type="http://schemas.openxmlformats.org/officeDocument/2006/relationships/image" Target="media/image34.gif"/><Relationship Id="rId84" Type="http://schemas.openxmlformats.org/officeDocument/2006/relationships/image" Target="media/image35.gif"/><Relationship Id="rId85" Type="http://schemas.openxmlformats.org/officeDocument/2006/relationships/image" Target="media/image3.jpeg"/><Relationship Id="rId86" Type="http://schemas.openxmlformats.org/officeDocument/2006/relationships/image" Target="media/image3.jpeg"/><Relationship Id="rId87" Type="http://schemas.openxmlformats.org/officeDocument/2006/relationships/image" Target="media/image3.jpeg"/><Relationship Id="rId88" Type="http://schemas.openxmlformats.org/officeDocument/2006/relationships/image" Target="media/image3.jpeg"/><Relationship Id="rId89" Type="http://schemas.openxmlformats.org/officeDocument/2006/relationships/image" Target="media/image3.jpeg"/><Relationship Id="rId90" Type="http://schemas.openxmlformats.org/officeDocument/2006/relationships/image" Target="media/image3.jpeg"/><Relationship Id="rId91" Type="http://schemas.openxmlformats.org/officeDocument/2006/relationships/image" Target="media/image36.gif"/><Relationship Id="rId92" Type="http://schemas.openxmlformats.org/officeDocument/2006/relationships/image" Target="media/image37.gif"/><Relationship Id="rId93" Type="http://schemas.openxmlformats.org/officeDocument/2006/relationships/image" Target="media/image38.gif"/><Relationship Id="rId94" Type="http://schemas.openxmlformats.org/officeDocument/2006/relationships/image" Target="media/image3.jpeg"/><Relationship Id="rId95" Type="http://schemas.openxmlformats.org/officeDocument/2006/relationships/image" Target="media/image3.jpeg"/><Relationship Id="rId96" Type="http://schemas.openxmlformats.org/officeDocument/2006/relationships/image" Target="media/image3.jpeg"/><Relationship Id="rId97" Type="http://schemas.openxmlformats.org/officeDocument/2006/relationships/image" Target="media/image3.jpeg"/><Relationship Id="rId98" Type="http://schemas.openxmlformats.org/officeDocument/2006/relationships/image" Target="media/image3.jpeg"/><Relationship Id="rId99" Type="http://schemas.openxmlformats.org/officeDocument/2006/relationships/image" Target="media/image3.jpeg"/><Relationship Id="rId100" Type="http://schemas.openxmlformats.org/officeDocument/2006/relationships/image" Target="media/image3.jpeg"/><Relationship Id="rId101" Type="http://schemas.openxmlformats.org/officeDocument/2006/relationships/image" Target="media/image3.jpeg"/><Relationship Id="rId102" Type="http://schemas.openxmlformats.org/officeDocument/2006/relationships/image" Target="media/image3.jpeg"/><Relationship Id="rId103" Type="http://schemas.openxmlformats.org/officeDocument/2006/relationships/image" Target="media/image3.jpeg"/><Relationship Id="rId104" Type="http://schemas.openxmlformats.org/officeDocument/2006/relationships/image" Target="media/image3.jpeg"/><Relationship Id="rId105" Type="http://schemas.openxmlformats.org/officeDocument/2006/relationships/image" Target="media/image2.jpeg"/><Relationship Id="rId106" Type="http://schemas.openxmlformats.org/officeDocument/2006/relationships/image" Target="media/image3.jpeg"/><Relationship Id="rId107" Type="http://schemas.openxmlformats.org/officeDocument/2006/relationships/image" Target="media/image39.jpeg"/><Relationship Id="rId108" Type="http://schemas.openxmlformats.org/officeDocument/2006/relationships/image" Target="media/image40.jpeg"/><Relationship Id="rId109" Type="http://schemas.openxmlformats.org/officeDocument/2006/relationships/fontTable" Target="fontTable.xml"/><Relationship Id="rId1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41418</Words>
  <Characters>230539</Characters>
  <CharactersWithSpaces>269308</CharactersWithSpaces>
  <Paragraphs>5211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